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60" w:before="60"/>
        <w:ind w:left="360"/>
        <w:rPr>
          <w:rFonts w:ascii="Arial" w:hAnsi="Arial" w:cs="Arial"/>
          <w:b/>
          <w:lang w:val="sr-Latn-RS"/>
        </w:rPr>
      </w:pPr>
      <w:r>
        <w:rPr>
          <w:rFonts w:ascii="Arial" w:hAnsi="Arial" w:cs="Arial"/>
          <w:b/>
          <w:lang w:val="sr-Latn-RS"/>
        </w:rPr>
        <w:t xml:space="preserve">ПРИЛОГ 1: САНКЦИЈЕ УСЛЕД КРШЕЊА HSE ЗАХТЕВА</w:t>
      </w:r>
      <w:r>
        <w:rPr>
          <w:rFonts w:ascii="Arial" w:hAnsi="Arial" w:cs="Arial"/>
          <w:b/>
          <w:lang w:val="sr-Latn-RS"/>
        </w:rPr>
      </w:r>
      <w:r>
        <w:rPr>
          <w:rFonts w:ascii="Arial" w:hAnsi="Arial" w:cs="Arial"/>
          <w:b/>
          <w:lang w:val="sr-Latn-RS"/>
        </w:rPr>
      </w:r>
    </w:p>
    <w:p>
      <w:pPr>
        <w:pBdr/>
        <w:spacing w:after="60" w:before="60"/>
        <w:ind w:left="360"/>
        <w:jc w:val="center"/>
        <w:rPr>
          <w:rFonts w:ascii="Arial" w:hAnsi="Arial" w:cs="Arial"/>
          <w:b/>
          <w:lang w:val="sr-Latn-RS"/>
        </w:rPr>
      </w:pPr>
      <w:r>
        <w:rPr>
          <w:rFonts w:ascii="Arial" w:hAnsi="Arial" w:cs="Arial"/>
          <w:b/>
          <w:lang w:val="sr-Latn-RS"/>
        </w:rPr>
      </w:r>
      <w:r>
        <w:rPr>
          <w:rFonts w:ascii="Arial" w:hAnsi="Arial" w:cs="Arial"/>
          <w:b/>
          <w:lang w:val="sr-Latn-RS"/>
        </w:rPr>
      </w:r>
      <w:r>
        <w:rPr>
          <w:rFonts w:ascii="Arial" w:hAnsi="Arial" w:cs="Arial"/>
          <w:b/>
          <w:lang w:val="sr-Latn-RS"/>
        </w:rPr>
      </w:r>
    </w:p>
    <w:p>
      <w:pPr>
        <w:numPr>
          <w:ilvl w:val="1"/>
          <w:numId w:val="7"/>
        </w:numPr>
        <w:pBdr/>
        <w:spacing w:after="120" w:before="120" w:line="276" w:lineRule="auto"/>
        <w:ind/>
        <w:jc w:val="both"/>
        <w:rPr>
          <w:rFonts w:ascii="Arial" w:hAnsi="Arial" w:cs="Arial"/>
          <w:lang w:val="sr-Latn-RS"/>
        </w:rPr>
      </w:pPr>
      <w:r>
        <w:rPr>
          <w:rFonts w:ascii="Arial" w:hAnsi="Arial" w:cs="Arial"/>
          <w:lang w:val="sr-Latn-RS"/>
        </w:rPr>
        <w:t xml:space="preserve">Уколико запослени Извршиоца и/или лица ко</w:t>
      </w:r>
      <w:r>
        <w:rPr>
          <w:rFonts w:ascii="Arial" w:hAnsi="Arial" w:cs="Arial"/>
          <w:lang w:val="sr-Latn-RS"/>
        </w:rPr>
        <w:t xml:space="preserve">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Усменo опомене запосленог Извршиоца и/или лицу које је ангажовао уз слање писаног обавештења о истој Извршиоцу;</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Писаним путем опомене запосленог Извршиоца и/или лицу које је ангажовао уз слање обавештења о истој Извршиоцу;</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Забрани улазак у круг објекта и/или пословне просторије Наручиоца запосленом Извршио</w:t>
      </w:r>
      <w:r>
        <w:rPr>
          <w:rFonts w:ascii="Arial" w:hAnsi="Arial" w:cs="Arial"/>
          <w:lang w:val="sr-Latn-RS"/>
        </w:rPr>
        <w:t xml:space="preserve">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Уговорне Стране су сагласне да ће, у случају кршења  правила из области БЗР, ЗЖС и ЗОП ( у даљем тексту HSE</w:t>
      </w:r>
      <w:r>
        <w:rPr>
          <w:rFonts w:ascii="Arial" w:hAnsi="Arial" w:cs="Arial"/>
          <w:lang w:val="sr-Latn-RS"/>
        </w:rPr>
        <w:t xml:space="preserv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w:t>
      </w:r>
      <w:r>
        <w:rPr>
          <w:rFonts w:ascii="Arial" w:hAnsi="Arial" w:cs="Arial"/>
          <w:lang w:val="sr-Latn-RS"/>
        </w:rPr>
        <w:t xml:space="preserve">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 Извршилац ће сарађивати у примени прописа HSE преко својих овлашћених лица и служби;</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w:t>
      </w:r>
      <w:r>
        <w:rPr>
          <w:rFonts w:ascii="Arial" w:hAnsi="Arial" w:cs="Arial"/>
          <w:lang w:val="sr-Latn-RS"/>
        </w:rPr>
        <w:t xml:space="preserve">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r>
        <w:rPr>
          <w:rFonts w:ascii="Arial" w:hAnsi="Arial" w:cs="Arial"/>
          <w:lang w:val="sr-Latn-RS"/>
        </w:rPr>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r>
        <w:rPr>
          <w:rFonts w:ascii="Arial" w:hAnsi="Arial" w:cs="Arial"/>
          <w:lang w:val="sr-Latn-RS"/>
        </w:rPr>
      </w:r>
      <w:r>
        <w:rPr>
          <w:rFonts w:ascii="Arial" w:hAnsi="Arial" w:cs="Arial"/>
          <w:lang w:val="sr-Latn-RS"/>
        </w:rPr>
      </w:r>
    </w:p>
    <w:p>
      <w:pPr>
        <w:numPr>
          <w:ilvl w:val="2"/>
          <w:numId w:val="7"/>
        </w:numPr>
        <w:pBdr/>
        <w:spacing w:after="60" w:before="60" w:line="276" w:lineRule="auto"/>
        <w:ind w:left="567"/>
        <w:jc w:val="both"/>
        <w:rPr>
          <w:rFonts w:ascii="Arial" w:hAnsi="Arial" w:cs="Arial"/>
          <w:lang w:val="sr-Latn-RS"/>
        </w:rPr>
      </w:pPr>
      <w:r>
        <w:rPr>
          <w:rFonts w:ascii="Arial" w:hAnsi="Arial" w:cs="Arial"/>
          <w:lang w:val="sr-Latn-RS"/>
        </w:rPr>
        <w:t xml:space="preserve">На основу записника из става 1.1.5. HSE Споразума, Наручилац сачињава Обрачун у</w:t>
      </w:r>
      <w:r>
        <w:rPr>
          <w:rFonts w:ascii="Arial" w:hAnsi="Arial" w:cs="Arial"/>
          <w:lang w:val="sr-Latn-RS"/>
        </w:rPr>
        <w:t xml:space="preserve">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r>
        <w:rPr>
          <w:rFonts w:ascii="Arial" w:hAnsi="Arial" w:cs="Arial"/>
          <w:lang w:val="sr-Latn-RS"/>
        </w:rPr>
      </w:r>
      <w:r>
        <w:rPr>
          <w:rFonts w:ascii="Arial" w:hAnsi="Arial" w:cs="Arial"/>
          <w:lang w:val="sr-Latn-RS"/>
        </w:rPr>
      </w:r>
    </w:p>
    <w:p>
      <w:pPr>
        <w:pBdr/>
        <w:spacing w:after="60" w:before="60"/>
        <w:ind/>
        <w:jc w:val="both"/>
        <w:rPr>
          <w:rFonts w:ascii="Arial" w:hAnsi="Arial" w:cs="Arial"/>
          <w:lang w:val="sr-Latn-RS"/>
        </w:rPr>
      </w:pPr>
      <w:r>
        <w:rPr>
          <w:rFonts w:ascii="Arial" w:hAnsi="Arial" w:cs="Arial"/>
          <w:lang w:val="sr-Latn-RS"/>
        </w:rPr>
      </w:r>
      <w:r>
        <w:rPr>
          <w:rFonts w:ascii="Arial" w:hAnsi="Arial" w:cs="Arial"/>
          <w:lang w:val="sr-Latn-RS"/>
        </w:rPr>
      </w:r>
      <w:r>
        <w:rPr>
          <w:rFonts w:ascii="Arial" w:hAnsi="Arial" w:cs="Arial"/>
          <w:lang w:val="sr-Latn-RS"/>
        </w:rPr>
      </w:r>
    </w:p>
    <w:p>
      <w:pPr>
        <w:pBdr/>
        <w:spacing w:after="160" w:line="259" w:lineRule="auto"/>
        <w:ind/>
        <w:rPr>
          <w:rFonts w:ascii="Arial" w:hAnsi="Arial" w:cs="Arial"/>
          <w:sz w:val="10"/>
          <w:szCs w:val="10"/>
          <w:lang w:val="sr-Latn-RS"/>
        </w:rPr>
      </w:pPr>
      <w:r>
        <w:rPr>
          <w:rFonts w:ascii="Arial" w:hAnsi="Arial" w:cs="Arial"/>
          <w:sz w:val="10"/>
          <w:szCs w:val="10"/>
          <w:lang w:val="sr-Latn-RS"/>
        </w:rPr>
        <w:br w:type="page" w:clear="all"/>
      </w:r>
      <w:r>
        <w:rPr>
          <w:rFonts w:ascii="Arial" w:hAnsi="Arial" w:cs="Arial"/>
          <w:sz w:val="10"/>
          <w:szCs w:val="10"/>
          <w:lang w:val="sr-Latn-RS"/>
        </w:rPr>
      </w:r>
      <w:r>
        <w:rPr>
          <w:rFonts w:ascii="Arial" w:hAnsi="Arial" w:cs="Arial"/>
          <w:sz w:val="10"/>
          <w:szCs w:val="10"/>
          <w:lang w:val="sr-Latn-RS"/>
        </w:rPr>
      </w:r>
    </w:p>
    <w:p>
      <w:pPr>
        <w:pBdr/>
        <w:spacing w:after="60" w:before="60"/>
        <w:ind/>
        <w:jc w:val="both"/>
        <w:rPr>
          <w:rFonts w:ascii="Arial" w:hAnsi="Arial" w:cs="Arial"/>
          <w:sz w:val="10"/>
          <w:szCs w:val="10"/>
          <w:lang w:val="sr-Latn-RS"/>
        </w:rPr>
      </w:pPr>
      <w:r>
        <w:rPr>
          <w:rFonts w:ascii="Arial" w:hAnsi="Arial" w:cs="Arial"/>
          <w:sz w:val="10"/>
          <w:szCs w:val="10"/>
          <w:lang w:val="sr-Latn-RS"/>
        </w:rPr>
      </w:r>
      <w:r>
        <w:rPr>
          <w:rFonts w:ascii="Arial" w:hAnsi="Arial" w:cs="Arial"/>
          <w:sz w:val="10"/>
          <w:szCs w:val="10"/>
          <w:lang w:val="sr-Latn-RS"/>
        </w:rPr>
      </w:r>
      <w:r>
        <w:rPr>
          <w:rFonts w:ascii="Arial" w:hAnsi="Arial" w:cs="Arial"/>
          <w:sz w:val="10"/>
          <w:szCs w:val="10"/>
          <w:lang w:val="sr-Latn-RS"/>
        </w:rPr>
      </w:r>
    </w:p>
    <w:tbl>
      <w:tblPr>
        <w:jc w:val="center"/>
        <w:tblW w:w="0" w:type="auto"/>
        <w:tblBorders/>
        <w:tblLook w:val="04A0" w:firstRow="1" w:lastRow="0" w:firstColumn="1" w:lastColumn="0" w:noHBand="0" w:noVBand="1"/>
        <w:tblStyle w:val="1136"/>
      </w:tblPr>
      <w:tblGrid>
        <w:gridCol w:w="4820"/>
        <w:gridCol w:w="3447"/>
      </w:tblGrid>
      <w:tr>
        <w:trPr>
          <w:cantSplit/>
          <w:jc w:val="center"/>
        </w:trPr>
        <w:tc>
          <w:tcPr>
            <w:tcBorders/>
            <w:tcW w:w="4820" w:type="dxa"/>
            <w:vAlign w:val="center"/>
            <w:textDirection w:val="lrTb"/>
            <w:noWrap w:val="false"/>
          </w:tcPr>
          <w:p>
            <w:pPr>
              <w:pBdr/>
              <w:spacing w:after="60" w:before="60"/>
              <w:ind/>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Прекршај HSE захтева</w:t>
            </w:r>
            <w:r>
              <w:rPr>
                <w:rFonts w:ascii="Arial" w:hAnsi="Arial" w:cs="Arial"/>
                <w:b/>
                <w:color w:val="000000" w:themeColor="text1"/>
                <w:sz w:val="18"/>
                <w:szCs w:val="18"/>
                <w:lang w:val="sr-Latn-RS"/>
              </w:rPr>
            </w:r>
            <w:r>
              <w:rPr>
                <w:rFonts w:ascii="Arial" w:hAnsi="Arial" w:cs="Arial"/>
                <w:b/>
                <w:color w:val="000000" w:themeColor="text1"/>
                <w:sz w:val="18"/>
                <w:szCs w:val="18"/>
                <w:lang w:val="sr-Latn-RS"/>
              </w:rPr>
            </w:r>
          </w:p>
        </w:tc>
        <w:tc>
          <w:tcPr>
            <w:tcBorders/>
            <w:tcW w:w="3447" w:type="dxa"/>
            <w:vAlign w:val="center"/>
            <w:textDirection w:val="lrTb"/>
            <w:noWrap w:val="false"/>
          </w:tcPr>
          <w:p>
            <w:pPr>
              <w:pBdr/>
              <w:spacing w:after="60" w:before="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Санкција</w:t>
            </w:r>
            <w:r>
              <w:rPr>
                <w:rFonts w:ascii="Arial" w:hAnsi="Arial" w:cs="Arial"/>
                <w:b/>
                <w:color w:val="000000" w:themeColor="text1"/>
                <w:sz w:val="18"/>
                <w:szCs w:val="18"/>
                <w:lang w:val="sr-Latn-RS"/>
              </w:rPr>
            </w:r>
            <w:r>
              <w:rPr>
                <w:rFonts w:ascii="Arial" w:hAnsi="Arial" w:cs="Arial"/>
                <w:b/>
                <w:color w:val="000000" w:themeColor="text1"/>
                <w:sz w:val="18"/>
                <w:szCs w:val="18"/>
                <w:lang w:val="sr-Latn-RS"/>
              </w:rPr>
            </w:r>
          </w:p>
        </w:tc>
      </w:tr>
      <w:tr>
        <w:trPr>
          <w:cantSplit/>
          <w:jc w:val="center"/>
          <w:trHeight w:val="850"/>
        </w:trPr>
        <w:tc>
          <w:tcPr>
            <w:tcBorders/>
            <w:tcW w:w="4820" w:type="dxa"/>
            <w:vAlign w:val="center"/>
            <w:textDirection w:val="lrTb"/>
            <w:noWrap w:val="false"/>
          </w:tcPr>
          <w:p>
            <w:pPr>
              <w:pBdr/>
              <w:spacing/>
              <w:ind/>
              <w:jc w:val="both"/>
              <w:rPr>
                <w:rFonts w:ascii="Arial" w:hAnsi="Arial" w:cs="Arial"/>
                <w:color w:val="000000" w:themeColor="text1"/>
              </w:rPr>
            </w:pPr>
            <w:r>
              <w:rPr>
                <w:rFonts w:ascii="Arial" w:hAnsi="Arial" w:cs="Arial"/>
                <w:color w:val="000000" w:themeColor="text1"/>
                <w:sz w:val="18"/>
                <w:szCs w:val="18"/>
                <w:lang w:val="sr-Latn-RS"/>
              </w:rPr>
              <w:t xml:space="preserve">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r>
              <w:rPr>
                <w:rFonts w:ascii="Arial" w:hAnsi="Arial" w:cs="Arial"/>
                <w:color w:val="000000" w:themeColor="text1"/>
                <w:lang w:val="sr-Latn-RS"/>
              </w:rPr>
            </w:r>
            <w:r>
              <w:rPr>
                <w:rFonts w:ascii="Arial" w:hAnsi="Arial" w:cs="Arial"/>
                <w:color w:val="000000" w:themeColor="text1"/>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од стране Наручиоца</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t xml:space="preserve">Неизвештавање Наручиоца о догађајима из области HSE</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Latn-RS"/>
              </w:rPr>
              <w:t xml:space="preserve">20.000 РСД за сваки дан кашњења;</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t xml:space="preserve">Неизвештавање Наручиоца о догађајима из области HSE;</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Непостајање прописаних лекарских и санитарних прегледа запослених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Latn-RS"/>
              </w:rPr>
              <w:t xml:space="preserve">20</w:t>
            </w:r>
            <w:r>
              <w:rPr>
                <w:rFonts w:ascii="Arial" w:hAnsi="Arial" w:cs="Arial"/>
                <w:color w:val="000000" w:themeColor="text1"/>
                <w:sz w:val="18"/>
                <w:szCs w:val="18"/>
                <w:lang w:val="sr-Latn-RS"/>
              </w:rPr>
              <w:t xml:space="preserve">0</w:t>
            </w:r>
            <w:r>
              <w:rPr>
                <w:rFonts w:ascii="Arial" w:hAnsi="Arial" w:cs="Arial"/>
                <w:color w:val="000000" w:themeColor="text1"/>
                <w:sz w:val="18"/>
                <w:szCs w:val="18"/>
                <w:lang w:val="sr-Latn-RS"/>
              </w:rPr>
              <w:t xml:space="preserve">.000 РСД за сваког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Cyrl-RS"/>
              </w:rPr>
              <w:t xml:space="preserve">100</w:t>
            </w:r>
            <w:r>
              <w:rPr>
                <w:rFonts w:ascii="Arial" w:hAnsi="Arial" w:cs="Arial"/>
                <w:color w:val="000000" w:themeColor="text1"/>
                <w:sz w:val="18"/>
                <w:szCs w:val="18"/>
                <w:lang w:val="sr-Latn-RS"/>
              </w:rPr>
              <w:t xml:space="preserve">.000 РСД за сваког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 xml:space="preserve">за више од два утврђена случаја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sr-Cyrl-RS"/>
              </w:rPr>
            </w:r>
            <w:r>
              <w:rPr>
                <w:rFonts w:ascii="Arial" w:hAnsi="Arial" w:cs="Arial"/>
                <w:color w:val="000000" w:themeColor="text1"/>
                <w:sz w:val="18"/>
                <w:szCs w:val="18"/>
                <w:lang w:val="sr-Cyrl-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xml:space="preserve">, </w:t>
            </w:r>
            <w:r>
              <w:rPr>
                <w:rFonts w:ascii="Arial" w:hAnsi="Arial" w:cs="Arial"/>
                <w:color w:val="000000" w:themeColor="text1"/>
                <w:sz w:val="18"/>
                <w:szCs w:val="18"/>
                <w:lang w:val="sr-Cyrl-RS"/>
              </w:rPr>
              <w:t xml:space="preserve">који врше високо-ризичне активности</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Cyrl-RS"/>
              </w:rPr>
              <w:t xml:space="preserve">5</w:t>
            </w:r>
            <w:r>
              <w:rPr>
                <w:rFonts w:ascii="Arial" w:hAnsi="Arial" w:cs="Arial"/>
                <w:color w:val="000000" w:themeColor="text1"/>
                <w:sz w:val="18"/>
                <w:szCs w:val="18"/>
                <w:lang w:val="sr-Latn-RS"/>
              </w:rPr>
              <w:t xml:space="preserve">0.000 РСД за сваког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први откривени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Height w:val="546"/>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други поновљени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rPr>
            </w:pPr>
            <w:r>
              <w:rPr>
                <w:rFonts w:ascii="Arial" w:hAnsi="Arial" w:cs="Arial"/>
                <w:color w:val="000000" w:themeColor="text1"/>
                <w:sz w:val="18"/>
                <w:szCs w:val="18"/>
                <w:lang w:val="sr-Latn-RS"/>
              </w:rPr>
              <w:t xml:space="preserve">50.000 РСД за сваки откривени случај,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Height w:val="871"/>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трећи поновљени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Одсуство или некоришћење прописани</w:t>
            </w:r>
            <w:bookmarkStart w:id="0" w:name="_GoBack"/>
            <w:r>
              <w:rPr>
                <w:color w:val="000000" w:themeColor="text1"/>
              </w:rPr>
            </w:r>
            <w:bookmarkEnd w:id="0"/>
            <w:r>
              <w:rPr>
                <w:rFonts w:ascii="Arial" w:hAnsi="Arial" w:cs="Arial"/>
                <w:color w:val="000000" w:themeColor="text1"/>
                <w:sz w:val="18"/>
                <w:szCs w:val="18"/>
                <w:lang w:val="sr-Latn-RS"/>
              </w:rPr>
              <w:t xml:space="preserve">х ЛЗО запослених код Извршиоца и/или лица које је ангажовао, за четврти поновљени случај; </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Одсуство и</w:t>
            </w:r>
            <w:r>
              <w:rPr>
                <w:rFonts w:ascii="Arial" w:hAnsi="Arial" w:cs="Arial"/>
                <w:color w:val="000000" w:themeColor="text1"/>
                <w:sz w:val="18"/>
                <w:szCs w:val="18"/>
                <w:lang w:val="sr-Latn-RS"/>
              </w:rPr>
              <w:t xml:space="preserve">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Пушење или коришћење отвореног пламена на за то непредвиђеним местима,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20.000 РСД сваког запосленог и/или за свако ангажовано лице понаособ;</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Style w:val="1138"/>
              <w:pBdr/>
              <w:spacing/>
              <w:ind/>
              <w:rPr>
                <w:rFonts w:ascii="Arial" w:hAnsi="Arial" w:cs="Arial"/>
                <w:color w:val="000000" w:themeColor="text1"/>
                <w:sz w:val="18"/>
                <w:szCs w:val="18"/>
              </w:rPr>
            </w:pPr>
            <w:r>
              <w:rPr>
                <w:rFonts w:ascii="Arial" w:hAnsi="Arial" w:cs="Arial"/>
                <w:color w:val="000000" w:themeColor="text1"/>
                <w:sz w:val="18"/>
                <w:szCs w:val="18"/>
                <w:lang w:val="ru-RU"/>
              </w:rPr>
              <w:t xml:space="preserve">Неиспуњење захтева дефинисаних законом о безбедности и здрављу на раду (члан 37 - уводно упознавање </w:t>
            </w:r>
            <w:r>
              <w:rPr>
                <w:rFonts w:ascii="Arial" w:hAnsi="Arial" w:cs="Arial"/>
                <w:color w:val="000000" w:themeColor="text1"/>
                <w:sz w:val="18"/>
                <w:szCs w:val="18"/>
                <w:lang w:val="ru-RU"/>
              </w:rPr>
              <w:t xml:space="preserve">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 активности, мерама за безбедан и здрав рад које мора да примени, безбедним зонама кретања и др.).</w:t>
            </w:r>
            <w:r>
              <w:rPr>
                <w:rFonts w:ascii="Arial" w:hAnsi="Arial" w:cs="Arial"/>
                <w:color w:val="000000" w:themeColor="text1"/>
                <w:sz w:val="18"/>
                <w:szCs w:val="18"/>
                <w:lang w:val="sr-Cyrl-RS"/>
              </w:rPr>
            </w:r>
            <w:r>
              <w:rPr>
                <w:rFonts w:ascii="Arial" w:hAnsi="Arial" w:cs="Arial"/>
                <w:color w:val="000000" w:themeColor="text1"/>
                <w:sz w:val="18"/>
                <w:szCs w:val="18"/>
                <w:lang w:val="sr-Cyrl-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без штетних последица по иницијатора раскида уговорног односа</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правила која се односе на зоне опасности, систем дозвола за рад</w:t>
            </w:r>
            <w:r>
              <w:rPr>
                <w:rFonts w:ascii="Arial" w:hAnsi="Arial" w:cs="Arial"/>
                <w:color w:val="000000" w:themeColor="text1"/>
                <w:sz w:val="18"/>
                <w:szCs w:val="18"/>
                <w:lang w:val="sr-Cyrl-RS"/>
              </w:rPr>
              <w:t xml:space="preserve"> </w:t>
            </w:r>
            <w:r>
              <w:rPr>
                <w:rFonts w:ascii="Arial" w:hAnsi="Arial" w:cs="Arial"/>
                <w:color w:val="000000" w:themeColor="text1"/>
                <w:sz w:val="18"/>
                <w:szCs w:val="18"/>
                <w:lang w:val="sr-Cyrl-RS"/>
              </w:rPr>
              <w:t xml:space="preserve">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високоризичних активности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Latn-RS"/>
              </w:rPr>
              <w:t xml:space="preserve">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Cyrl-RS"/>
              </w:rPr>
              <w:t xml:space="preserve">Непоштовање правила која се односе на интерна правила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 xml:space="preserve">шиоца и/или лица које је ангажовао</w:t>
            </w:r>
            <w:r>
              <w:rPr>
                <w:rFonts w:ascii="Arial" w:hAnsi="Arial" w:cs="Arial"/>
                <w:color w:val="000000" w:themeColor="text1"/>
                <w:sz w:val="18"/>
                <w:szCs w:val="18"/>
                <w:lang w:val="sr-Cyrl-RS"/>
              </w:rPr>
              <w:t xml:space="preserve">, и сл.)</w:t>
            </w:r>
            <w:r>
              <w:rPr>
                <w:rFonts w:ascii="Arial" w:hAnsi="Arial" w:cs="Arial"/>
                <w:color w:val="000000" w:themeColor="text1"/>
                <w:sz w:val="18"/>
                <w:szCs w:val="18"/>
                <w:lang w:val="sr-Cyrl-RS"/>
              </w:rPr>
            </w:r>
            <w:r>
              <w:rPr>
                <w:rFonts w:ascii="Arial" w:hAnsi="Arial" w:cs="Arial"/>
                <w:color w:val="000000" w:themeColor="text1"/>
                <w:sz w:val="18"/>
                <w:szCs w:val="18"/>
                <w:lang w:val="sr-Cyrl-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color w:val="000000" w:themeColor="text1"/>
              </w:rPr>
            </w:r>
            <w:bookmarkStart w:id="1" w:name="_Hlk195436203"/>
            <w:r>
              <w:rPr>
                <w:rFonts w:ascii="Arial" w:hAnsi="Arial" w:cs="Arial"/>
                <w:color w:val="000000" w:themeColor="text1"/>
                <w:sz w:val="18"/>
                <w:szCs w:val="18"/>
                <w:lang w:val="sr-Latn-RS"/>
              </w:rPr>
              <w:t xml:space="preserve">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прописа из области заштите од пожара,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Коришћење алкохола и/или других опојних средстава (наркотика) запослених код Извршиоца и/или лица које је ангажоваo;</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Унос/ </w:t>
            </w:r>
            <w:r>
              <w:rPr>
                <w:rFonts w:ascii="Arial" w:hAnsi="Arial" w:cs="Arial"/>
                <w:color w:val="000000" w:themeColor="text1"/>
                <w:sz w:val="18"/>
                <w:szCs w:val="18"/>
                <w:lang w:val="ru-RU"/>
              </w:rPr>
              <w:t xml:space="preserve">к</w:t>
            </w:r>
            <w:r>
              <w:rPr>
                <w:rFonts w:ascii="Arial" w:hAnsi="Arial" w:cs="Arial"/>
                <w:color w:val="000000" w:themeColor="text1"/>
                <w:sz w:val="18"/>
                <w:szCs w:val="18"/>
                <w:lang w:val="sr-Latn-RS"/>
              </w:rPr>
              <w:t xml:space="preserve">оришћење алкохола и/или других опојних средстава (наркотика) код запослених Извршиоца и/или лица које је ангажовао на улазно/излазним капијама;</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w:t>
            </w:r>
            <w:r>
              <w:rPr>
                <w:rFonts w:ascii="Arial" w:hAnsi="Arial" w:cs="Arial"/>
                <w:color w:val="000000" w:themeColor="text1"/>
                <w:sz w:val="18"/>
                <w:szCs w:val="18"/>
                <w:lang w:val="sr-Latn-RS"/>
              </w:rPr>
              <w:t xml:space="preserve">.000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планирања и изградње,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50.000 РСД за сваки откривени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Непоштовање закон</w:t>
            </w:r>
            <w:r>
              <w:rPr>
                <w:rFonts w:ascii="Arial" w:hAnsi="Arial" w:cs="Arial"/>
                <w:color w:val="000000" w:themeColor="text1"/>
                <w:sz w:val="18"/>
                <w:szCs w:val="18"/>
              </w:rPr>
              <w:t xml:space="preserve">a</w:t>
            </w:r>
            <w:r>
              <w:rPr>
                <w:rFonts w:ascii="Arial" w:hAnsi="Arial" w:cs="Arial"/>
                <w:color w:val="000000" w:themeColor="text1"/>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r>
              <w:rPr>
                <w:rFonts w:ascii="Arial" w:hAnsi="Arial" w:cs="Arial"/>
                <w:color w:val="000000" w:themeColor="text1"/>
                <w:sz w:val="18"/>
                <w:szCs w:val="18"/>
                <w:lang w:val="ru-RU"/>
              </w:rPr>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color w:val="000000" w:themeColor="text1"/>
              </w:rPr>
            </w: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случај;</w:t>
            </w:r>
            <w:bookmarkEnd w:id="2"/>
            <w:r>
              <w:rPr>
                <w:rFonts w:ascii="Arial" w:hAnsi="Arial" w:cs="Arial"/>
                <w:color w:val="000000" w:themeColor="text1"/>
                <w:sz w:val="18"/>
                <w:szCs w:val="18"/>
                <w:lang w:val="ru-RU"/>
              </w:rPr>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вода, од стране запослених код Извршиоца и/или лица које је ангажовао; </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ваздуха,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рада са хемикалијама и опасним материјама,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w:t>
            </w:r>
            <w:r>
              <w:rPr>
                <w:rFonts w:ascii="Arial" w:hAnsi="Arial" w:cs="Arial"/>
                <w:color w:val="000000" w:themeColor="text1"/>
                <w:sz w:val="18"/>
                <w:szCs w:val="18"/>
                <w:lang w:val="sr-Latn-RS"/>
              </w:rPr>
              <w:t xml:space="preserve">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ЗЖС  које нису наведене у посебним казненим одредбама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др</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rPr>
            </w:pPr>
            <w:r>
              <w:rPr>
                <w:rFonts w:ascii="Arial" w:hAnsi="Arial" w:cs="Arial"/>
                <w:color w:val="000000" w:themeColor="text1"/>
                <w:sz w:val="18"/>
                <w:szCs w:val="18"/>
                <w:lang w:val="sr-Latn-RS"/>
              </w:rPr>
              <w:t xml:space="preserve">Догађај или оштећење изазвано ненамерним контактом са </w:t>
            </w:r>
            <w:r>
              <w:rPr>
                <w:rFonts w:ascii="Arial" w:hAnsi="Arial" w:cs="Arial"/>
                <w:color w:val="000000" w:themeColor="text1"/>
                <w:sz w:val="18"/>
                <w:szCs w:val="18"/>
                <w:lang w:val="sr-Latn-RS"/>
              </w:rPr>
              <w:t xml:space="preserve">надземни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 xml:space="preserve">им</w:t>
            </w:r>
            <w:r>
              <w:rPr>
                <w:rFonts w:ascii="Arial" w:hAnsi="Arial" w:cs="Arial"/>
                <w:color w:val="000000" w:themeColor="text1"/>
                <w:sz w:val="18"/>
                <w:szCs w:val="18"/>
                <w:lang w:val="sr-Latn-RS"/>
              </w:rPr>
              <w:t xml:space="preserve">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w:t>
            </w:r>
            <w:r>
              <w:rPr>
                <w:rFonts w:ascii="Arial" w:hAnsi="Arial" w:cs="Arial"/>
                <w:color w:val="000000" w:themeColor="text1"/>
                <w:sz w:val="18"/>
                <w:szCs w:val="18"/>
                <w:lang w:val="sr-Cyrl-RS"/>
              </w:rPr>
              <w:t xml:space="preserve">приликом извођења 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Cyrl-RS"/>
              </w:rPr>
              <w:t xml:space="preserve">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r>
              <w:rPr>
                <w:rFonts w:ascii="Arial" w:hAnsi="Arial" w:cs="Arial"/>
                <w:color w:val="000000" w:themeColor="text1"/>
                <w:sz w:val="18"/>
                <w:szCs w:val="18"/>
                <w:lang w:val="sr-Cyrl-RS"/>
              </w:rPr>
            </w:r>
            <w:r>
              <w:rPr>
                <w:rFonts w:ascii="Arial" w:hAnsi="Arial" w:cs="Arial"/>
                <w:color w:val="000000" w:themeColor="text1"/>
                <w:sz w:val="18"/>
                <w:szCs w:val="18"/>
                <w:lang w:val="sr-Cyrl-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 случај недостављања тражене документације</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Cyrl-RS"/>
              </w:rPr>
              <w:t xml:space="preserve">А</w:t>
            </w:r>
            <w:r>
              <w:rPr>
                <w:rFonts w:ascii="Arial" w:hAnsi="Arial" w:cs="Arial"/>
                <w:color w:val="000000" w:themeColor="text1"/>
                <w:sz w:val="18"/>
                <w:szCs w:val="18"/>
                <w:lang w:val="sr-Latn-RS"/>
              </w:rPr>
              <w:t xml:space="preserve">нгаж</w:t>
            </w:r>
            <w:r>
              <w:rPr>
                <w:rFonts w:ascii="Arial" w:hAnsi="Arial" w:cs="Arial"/>
                <w:color w:val="000000" w:themeColor="text1"/>
                <w:sz w:val="18"/>
                <w:szCs w:val="18"/>
                <w:lang w:val="sr-Cyrl-RS"/>
              </w:rPr>
              <w:t xml:space="preserve">овање</w:t>
            </w:r>
            <w:r>
              <w:rPr>
                <w:rFonts w:ascii="Arial" w:hAnsi="Arial" w:cs="Arial"/>
                <w:color w:val="000000" w:themeColor="text1"/>
                <w:sz w:val="18"/>
                <w:szCs w:val="18"/>
                <w:lang w:val="sr-Latn-RS"/>
              </w:rPr>
              <w:t xml:space="preserve"> додатних запослених и</w:t>
            </w:r>
            <w:r>
              <w:rPr>
                <w:rFonts w:ascii="Arial" w:hAnsi="Arial" w:cs="Arial"/>
                <w:color w:val="000000" w:themeColor="text1"/>
                <w:sz w:val="18"/>
                <w:szCs w:val="18"/>
                <w:lang w:val="sr-Cyrl-RS"/>
              </w:rPr>
              <w:t xml:space="preserve">ли</w:t>
            </w:r>
            <w:r>
              <w:rPr>
                <w:rFonts w:ascii="Arial" w:hAnsi="Arial" w:cs="Arial"/>
                <w:color w:val="000000" w:themeColor="text1"/>
                <w:sz w:val="18"/>
                <w:szCs w:val="18"/>
                <w:lang w:val="sr-Latn-RS"/>
              </w:rPr>
              <w:t xml:space="preserve"> механизације без претходне сагласности Наручиоца</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Bdr/>
              <w:spacing w:after="60" w:before="60"/>
              <w:ind/>
              <w:rPr>
                <w:rFonts w:ascii="Arial" w:hAnsi="Arial" w:cs="Arial"/>
                <w:color w:val="000000" w:themeColor="text1"/>
                <w:sz w:val="18"/>
                <w:szCs w:val="18"/>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 xml:space="preserve">.</w:t>
            </w:r>
            <w:r>
              <w:rPr>
                <w:rFonts w:ascii="Arial" w:hAnsi="Arial" w:cs="Arial"/>
                <w:color w:val="000000" w:themeColor="text1"/>
                <w:sz w:val="18"/>
                <w:szCs w:val="18"/>
                <w:lang w:val="sr-Cyrl-RS"/>
              </w:rPr>
            </w:r>
            <w:r>
              <w:rPr>
                <w:rFonts w:ascii="Arial" w:hAnsi="Arial" w:cs="Arial"/>
                <w:color w:val="000000" w:themeColor="text1"/>
                <w:sz w:val="18"/>
                <w:szCs w:val="18"/>
                <w:lang w:val="sr-Cyrl-RS"/>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 xml:space="preserve">и</w:t>
            </w:r>
            <w:r>
              <w:rPr>
                <w:rFonts w:ascii="Arial" w:hAnsi="Arial" w:cs="Arial"/>
                <w:color w:val="000000" w:themeColor="text1"/>
                <w:sz w:val="18"/>
                <w:szCs w:val="18"/>
                <w:lang w:val="sr-Latn-RS"/>
              </w:rPr>
              <w:t xml:space="preserve"> производња у складу са Законом о рударству и геолошким истраживањима чл.175</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c>
          <w:tcPr>
            <w:tcBorders/>
            <w:tcW w:w="3447" w:type="dxa"/>
            <w:vAlign w:val="center"/>
            <w:textDirection w:val="lrTb"/>
            <w:noWrap w:val="false"/>
          </w:tcPr>
          <w:p>
            <w:pPr>
              <w:pStyle w:val="1138"/>
              <w:pBdr/>
              <w:spacing/>
              <w:ind/>
              <w:rPr>
                <w:rFonts w:ascii="Arial" w:hAnsi="Arial" w:cs="Arial"/>
                <w:color w:val="000000" w:themeColor="text1"/>
                <w:sz w:val="18"/>
                <w:szCs w:val="18"/>
              </w:rPr>
            </w:pPr>
            <w:r>
              <w:rPr>
                <w:rFonts w:ascii="Arial" w:hAnsi="Arial" w:cs="Arial"/>
                <w:color w:val="000000" w:themeColor="text1"/>
                <w:sz w:val="18"/>
                <w:szCs w:val="18"/>
                <w:lang w:val="sr-Latn-RS"/>
              </w:rPr>
              <w:t xml:space="preserve">500.000 РСД за сваки утврђени случај</w:t>
            </w:r>
            <w:r>
              <w:rPr>
                <w:rFonts w:ascii="Arial" w:hAnsi="Arial" w:cs="Arial"/>
                <w:color w:val="000000" w:themeColor="text1"/>
                <w:sz w:val="18"/>
                <w:szCs w:val="18"/>
                <w:lang w:val="sr-Latn-RS"/>
              </w:rPr>
            </w:r>
            <w:r>
              <w:rPr>
                <w:rFonts w:ascii="Arial" w:hAnsi="Arial" w:cs="Arial"/>
                <w:color w:val="000000" w:themeColor="text1"/>
                <w:sz w:val="18"/>
                <w:szCs w:val="18"/>
                <w:lang w:val="sr-Latn-RS"/>
              </w:rPr>
            </w:r>
          </w:p>
        </w:tc>
      </w:tr>
    </w:tbl>
    <w:p>
      <w:pPr>
        <w:pBdr/>
        <w:spacing w:after="120" w:before="120"/>
        <w:ind w:hanging="720" w:left="720"/>
        <w:jc w:val="both"/>
        <w:rPr>
          <w:rFonts w:ascii="Arial" w:hAnsi="Arial" w:cs="Arial"/>
          <w:lang w:val="sr-Latn-RS"/>
        </w:rPr>
      </w:pPr>
      <w:r>
        <w:rPr>
          <w:rFonts w:ascii="Arial" w:hAnsi="Arial" w:cs="Arial"/>
          <w:lang w:val="sr-Latn-RS"/>
        </w:rPr>
        <w:t xml:space="preserve">1.1.10. Овлашћена лица Наручиоца имају дискреционо право избора и/или комбинације      санкција из пре</w:t>
      </w:r>
      <w:r>
        <w:rPr>
          <w:rFonts w:ascii="Arial" w:hAnsi="Arial" w:cs="Arial"/>
          <w:lang w:val="sr-Latn-RS"/>
        </w:rPr>
        <w:t xml:space="preserve">тходне тачке и иста ће се приликом одлучивања руководити околностима конкретног случаја, као и тиме да се свако кршење обавеза из Прилога 3 HSE Споразума сматра опасном активношћу без обзира на то да ли су наступиле штетне последице.</w:t>
      </w:r>
      <w:r>
        <w:rPr>
          <w:rFonts w:ascii="Arial" w:hAnsi="Arial" w:cs="Arial"/>
          <w:lang w:val="sr-Latn-RS"/>
        </w:rPr>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1.1.11. У случају да Наручиоцу  буде  изречена новчан</w:t>
      </w:r>
      <w:r>
        <w:rPr>
          <w:rFonts w:ascii="Arial" w:hAnsi="Arial" w:cs="Arial"/>
          <w:lang w:val="sr-Latn-RS"/>
        </w:rPr>
        <w:t xml:space="preserve">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r>
        <w:rPr>
          <w:rFonts w:ascii="Arial" w:hAnsi="Arial" w:cs="Arial"/>
          <w:lang w:val="sr-Latn-RS"/>
        </w:rPr>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1.1.12. У случају када је Извршилац нерезидент</w:t>
      </w:r>
      <w:r>
        <w:rPr>
          <w:rFonts w:ascii="Arial" w:hAnsi="Arial" w:cs="Arial"/>
          <w:lang w:val="sr-Latn-RS"/>
        </w:rPr>
        <w:t xml:space="preserve">,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w:t>
      </w:r>
      <w:r>
        <w:rPr>
          <w:rFonts w:ascii="Arial" w:hAnsi="Arial" w:cs="Arial"/>
          <w:lang w:val="sr-Latn-RS"/>
        </w:rPr>
        <w:t xml:space="preserve">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r>
        <w:rPr>
          <w:rFonts w:ascii="Arial" w:hAnsi="Arial" w:cs="Arial"/>
          <w:lang w:val="sr-Latn-RS"/>
        </w:rPr>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 xml:space="preserve">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 xml:space="preserve">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области БЗР, ЗОП и</w:t>
      </w:r>
      <w:r>
        <w:rPr>
          <w:rFonts w:ascii="Arial" w:hAnsi="Arial" w:cs="Arial"/>
          <w:lang w:val="sr-Latn-RS"/>
        </w:rPr>
        <w:t xml:space="preserve"> ЗЖС изриче се 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r>
        <w:rPr>
          <w:rFonts w:ascii="Arial" w:hAnsi="Arial" w:cs="Arial"/>
          <w:lang w:val="sr-Latn-RS"/>
        </w:rPr>
      </w:r>
      <w:r>
        <w:rPr>
          <w:rFonts w:ascii="Arial" w:hAnsi="Arial" w:cs="Arial"/>
          <w:lang w:val="sr-Latn-RS"/>
        </w:rPr>
      </w:r>
      <w:r>
        <w:rPr>
          <w:rFonts w:ascii="Arial" w:hAnsi="Arial" w:cs="Arial"/>
          <w:lang w:val="sr-Latn-RS"/>
        </w:rPr>
      </w:r>
      <w:r>
        <w:rPr>
          <w:rFonts w:ascii="Arial" w:hAnsi="Arial" w:cs="Arial"/>
          <w:lang w:val="sr-Latn-RS"/>
        </w:rPr>
      </w:r>
      <w:r>
        <w:rPr>
          <w:rFonts w:ascii="Arial" w:hAnsi="Arial" w:cs="Arial"/>
          <w:lang w:val="sr-Latn-RS"/>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ru-RU"/>
        </w:rPr>
      </w:r>
      <w:r>
        <w:rPr>
          <w:rFonts w:ascii="Arial" w:hAnsi="Arial" w:cs="Arial"/>
          <w:lang w:val="sr-Latn-RS"/>
        </w:rPr>
      </w:r>
    </w:p>
    <w:sectPr>
      <w:headerReference w:type="first" r:id="rId9"/>
      <w:footerReference w:type="default" r:id="rId10"/>
      <w:footerReference w:type="first" r:id="rId11"/>
      <w:footnotePr/>
      <w:endnotePr/>
      <w:type w:val="continuous"/>
      <w:pgSz w:h="16838" w:orient="portrait" w:w="11906"/>
      <w:pgMar w:top="1417" w:right="1417" w:bottom="1417" w:left="1417" w:header="708" w:footer="708"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Monotype Sorts">
    <w:panose1 w:val="05010000000000000000"/>
  </w:font>
  <w:font w:name="Wingdings">
    <w:panose1 w:val="05010000000000000000"/>
  </w:font>
  <w:font w:name="Courier New">
    <w:panose1 w:val="02070309020205020404"/>
  </w:font>
  <w:font w:name="Symbol">
    <w:panose1 w:val="05010000000000000000"/>
  </w:font>
  <w:font w:name="Segoe UI">
    <w:panose1 w:val="020B0502040504020204"/>
  </w:font>
  <w:font w:name="Tms Rmn">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34"/>
      <w:pBdr/>
      <w:spacing w:after="120" w:before="120"/>
      <w:ind/>
      <w:rPr>
        <w:rFonts w:ascii="Arial" w:hAnsi="Arial" w:cs="Arial"/>
      </w:rPr>
    </w:pPr>
    <w:r>
      <w:rPr>
        <w:rFonts w:ascii="Arial" w:hAnsi="Arial" w:cs="Arial"/>
        <w:lang w:val="sr-Cyrl-RS"/>
      </w:rPr>
      <w:t xml:space="preserve">ТФУ.НИС.471</w:t>
    </w:r>
    <w:r>
      <w:rPr>
        <w:rFonts w:ascii="Arial" w:hAnsi="Arial" w:cs="Arial"/>
        <w:lang w:val="sr-Cyrl-RS"/>
      </w:rPr>
      <w:tab/>
    </w:r>
    <w:r>
      <w:rPr>
        <w:rFonts w:ascii="Arial" w:hAnsi="Arial" w:cs="Arial"/>
        <w:lang w:val="sr-Cyrl-RS"/>
      </w:rPr>
      <w:tab/>
    </w:r>
    <w:sdt>
      <w:sdtPr>
        <w:alias w:val=""/>
        <w15:appearance w15:val="boundingBox"/>
        <w:id w:val="-680194104"/>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3</w:t>
        </w:r>
        <w:r>
          <w:rPr>
            <w:rFonts w:ascii="Arial" w:hAnsi="Arial" w:cs="Arial"/>
          </w:rPr>
          <w:fldChar w:fldCharType="end"/>
        </w:r>
      </w:sdtContent>
    </w:sdt>
    <w:r>
      <w:rPr>
        <w:rFonts w:ascii="Arial" w:hAnsi="Arial" w:cs="Arial"/>
      </w:rPr>
    </w:r>
    <w:r>
      <w:rPr>
        <w:rFonts w:ascii="Arial" w:hAnsi="Arial" w:cs="Arial"/>
      </w:rPr>
    </w:r>
  </w:p>
  <w:p>
    <w:pPr>
      <w:pStyle w:val="1134"/>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34"/>
      <w:pBdr/>
      <w:spacing w:after="120" w:before="120"/>
      <w:ind/>
      <w:rPr>
        <w:rFonts w:ascii="Arial" w:hAnsi="Arial" w:cs="Arial"/>
      </w:rPr>
    </w:pPr>
    <w:r>
      <w:rPr>
        <w:rFonts w:ascii="Arial" w:hAnsi="Arial" w:cs="Arial"/>
        <w:lang w:val="sr-Cyrl-RS"/>
      </w:rPr>
      <w:t xml:space="preserve">ТФУ.НИС.471</w:t>
    </w:r>
    <w:r>
      <w:rPr>
        <w:rFonts w:ascii="Arial" w:hAnsi="Arial" w:cs="Arial"/>
      </w:rPr>
    </w:r>
    <w:r>
      <w:rPr>
        <w:rFonts w:ascii="Arial" w:hAnsi="Arial" w:cs="Arial"/>
      </w:rPr>
    </w:r>
  </w:p>
  <w:p>
    <w:pPr>
      <w:pStyle w:val="1134"/>
      <w:pBdr/>
      <w:spacing w:after="120" w:before="120"/>
      <w:ind/>
      <w:jc w:val="center"/>
      <w:rPr>
        <w:rFonts w:ascii="Arial" w:hAnsi="Arial" w:cs="Arial"/>
      </w:rPr>
    </w:pPr>
    <w:r>
      <w:rPr>
        <w:rFonts w:ascii="Arial" w:hAnsi="Arial" w:cs="Arial"/>
        <w:lang w:val="sr-Cyrl-RS"/>
      </w:rPr>
      <w:tab/>
    </w:r>
    <w:r>
      <w:rPr>
        <w:rFonts w:ascii="Arial" w:hAnsi="Arial" w:cs="Arial"/>
        <w:lang w:val="sr-Cyrl-RS"/>
      </w:rPr>
      <w:tab/>
    </w:r>
    <w:sdt>
      <w:sdtPr>
        <w:alias w:val=""/>
        <w15:appearance w15:val="boundingBox"/>
        <w:id w:val="-1739552277"/>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1</w:t>
        </w:r>
        <w:r>
          <w:rPr>
            <w:rFonts w:ascii="Arial" w:hAnsi="Arial" w:cs="Arial"/>
          </w:rPr>
          <w:fldChar w:fldCharType="end"/>
        </w:r>
      </w:sdtContent>
    </w:sdt>
    <w:r>
      <w:rPr>
        <w:rFonts w:ascii="Arial" w:hAnsi="Arial" w:cs="Arial"/>
      </w:rPr>
    </w:r>
    <w:r>
      <w:rPr>
        <w:rFonts w:ascii="Arial" w:hAnsi="Arial" w:cs="Arial"/>
      </w:rPr>
    </w:r>
  </w:p>
  <w:p>
    <w:pPr>
      <w:pStyle w:val="1134"/>
      <w:pBdr/>
      <w:spacing/>
      <w:ind/>
      <w:rPr/>
    </w:pPr>
    <w:r/>
    <w:r/>
  </w:p>
  <w:p>
    <w:pPr>
      <w:pStyle w:val="1134"/>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6962"/>
      <w:gridCol w:w="2110"/>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b/>
              <w:sz w:val="28"/>
              <w:szCs w:val="28"/>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0</wp:posOffset>
                    </wp:positionH>
                    <wp:positionV relativeFrom="paragraph">
                      <wp:posOffset>5080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40pt;mso-position-vertical:absolute;width:126.75pt;height:36.95pt;mso-wrap-distance-left:9.00pt;mso-wrap-distance-top:0.00pt;mso-wrap-distance-right:9.00pt;mso-wrap-distance-bottom:0.00pt;z-index:1;" stroked="false">
                    <v:imagedata r:id="rId1" o:title=""/>
                    <o:lock v:ext="edit" rotation="t"/>
                  </v:shape>
                </w:pict>
              </mc:Fallback>
            </mc:AlternateContent>
          </w:r>
          <w:r>
            <w:rPr>
              <w:rFonts w:ascii="Arial" w:hAnsi="Arial" w:eastAsia="Calibri" w:cs="Arial"/>
              <w:sz w:val="16"/>
              <w:szCs w:val="16"/>
              <w:lang w:val="ru-RU"/>
            </w:rPr>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Cs w:val="16"/>
              <w:lang w:val="ru-RU"/>
            </w:rPr>
          </w:pPr>
          <w:r>
            <w:rPr>
              <w:rFonts w:ascii="Arial" w:hAnsi="Arial" w:eastAsia="Calibri" w:cs="Arial"/>
              <w:i/>
              <w:szCs w:val="16"/>
              <w:lang w:val="ru-RU"/>
            </w:rPr>
            <w:t xml:space="preserve">Типска форма</w:t>
          </w:r>
          <w:r>
            <w:rPr>
              <w:rFonts w:ascii="Arial" w:hAnsi="Arial" w:eastAsia="Calibri" w:cs="Arial"/>
              <w:i/>
              <w:szCs w:val="16"/>
              <w:lang w:val="ru-RU"/>
            </w:rPr>
          </w:r>
          <w:r>
            <w:rPr>
              <w:rFonts w:ascii="Arial" w:hAnsi="Arial" w:eastAsia="Calibri" w:cs="Arial"/>
              <w:i/>
              <w:szCs w:val="16"/>
              <w:lang w:val="ru-RU"/>
            </w:rPr>
          </w:r>
        </w:p>
      </w:tc>
    </w:tr>
  </w:tbl>
  <w:p>
    <w:pPr>
      <w:pStyle w:val="1132"/>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
    <w:lvl w:ilvl="0">
      <w:isLgl w:val="false"/>
      <w:lvlJc w:val="left"/>
      <w:lvlText w:val=""/>
      <w:numFmt w:val="bullet"/>
      <w:pPr>
        <w:pBdr/>
        <w:spacing/>
        <w:ind w:hanging="360" w:left="1211"/>
      </w:pPr>
      <w:rPr>
        <w:rFonts w:hint="default" w:ascii="Symbol" w:hAnsi="Symbol"/>
      </w:rPr>
      <w:start w:val="1"/>
      <w:suff w:val="tab"/>
    </w:lvl>
    <w:lvl w:ilvl="1">
      <w:isLgl w:val="false"/>
      <w:lvlJc w:val="left"/>
      <w:lvlText w:val="o"/>
      <w:numFmt w:val="bullet"/>
      <w:pPr>
        <w:pBdr/>
        <w:spacing/>
        <w:ind w:hanging="360" w:left="1931"/>
      </w:pPr>
      <w:rPr>
        <w:rFonts w:hint="default" w:ascii="Courier New" w:hAnsi="Courier New" w:cs="Courier New"/>
      </w:rPr>
      <w:start w:val="1"/>
      <w:suff w:val="tab"/>
    </w:lvl>
    <w:lvl w:ilvl="2">
      <w:isLgl w:val="false"/>
      <w:lvlJc w:val="left"/>
      <w:lvlText w:val=""/>
      <w:numFmt w:val="bullet"/>
      <w:pPr>
        <w:pBdr/>
        <w:spacing/>
        <w:ind w:hanging="360" w:left="2651"/>
      </w:pPr>
      <w:rPr>
        <w:rFonts w:hint="default" w:ascii="Wingdings" w:hAnsi="Wingdings"/>
      </w:rPr>
      <w:start w:val="1"/>
      <w:suff w:val="tab"/>
    </w:lvl>
    <w:lvl w:ilvl="3">
      <w:isLgl w:val="false"/>
      <w:lvlJc w:val="left"/>
      <w:lvlText w:val=""/>
      <w:numFmt w:val="bullet"/>
      <w:pPr>
        <w:pBdr/>
        <w:spacing/>
        <w:ind w:hanging="360" w:left="3371"/>
      </w:pPr>
      <w:rPr>
        <w:rFonts w:hint="default" w:ascii="Symbol" w:hAnsi="Symbol"/>
      </w:rPr>
      <w:start w:val="1"/>
      <w:suff w:val="tab"/>
    </w:lvl>
    <w:lvl w:ilvl="4">
      <w:isLgl w:val="false"/>
      <w:lvlJc w:val="left"/>
      <w:lvlText w:val="o"/>
      <w:numFmt w:val="bullet"/>
      <w:pPr>
        <w:pBdr/>
        <w:spacing/>
        <w:ind w:hanging="360" w:left="4091"/>
      </w:pPr>
      <w:rPr>
        <w:rFonts w:hint="default" w:ascii="Courier New" w:hAnsi="Courier New" w:cs="Courier New"/>
      </w:rPr>
      <w:start w:val="1"/>
      <w:suff w:val="tab"/>
    </w:lvl>
    <w:lvl w:ilvl="5">
      <w:isLgl w:val="false"/>
      <w:lvlJc w:val="left"/>
      <w:lvlText w:val=""/>
      <w:numFmt w:val="bullet"/>
      <w:pPr>
        <w:pBdr/>
        <w:spacing/>
        <w:ind w:hanging="360" w:left="4811"/>
      </w:pPr>
      <w:rPr>
        <w:rFonts w:hint="default" w:ascii="Wingdings" w:hAnsi="Wingdings"/>
      </w:rPr>
      <w:start w:val="1"/>
      <w:suff w:val="tab"/>
    </w:lvl>
    <w:lvl w:ilvl="6">
      <w:isLgl w:val="false"/>
      <w:lvlJc w:val="left"/>
      <w:lvlText w:val=""/>
      <w:numFmt w:val="bullet"/>
      <w:pPr>
        <w:pBdr/>
        <w:spacing/>
        <w:ind w:hanging="360" w:left="5531"/>
      </w:pPr>
      <w:rPr>
        <w:rFonts w:hint="default" w:ascii="Symbol" w:hAnsi="Symbol"/>
      </w:rPr>
      <w:start w:val="1"/>
      <w:suff w:val="tab"/>
    </w:lvl>
    <w:lvl w:ilvl="7">
      <w:isLgl w:val="false"/>
      <w:lvlJc w:val="left"/>
      <w:lvlText w:val="o"/>
      <w:numFmt w:val="bullet"/>
      <w:pPr>
        <w:pBdr/>
        <w:spacing/>
        <w:ind w:hanging="360" w:left="6251"/>
      </w:pPr>
      <w:rPr>
        <w:rFonts w:hint="default" w:ascii="Courier New" w:hAnsi="Courier New" w:cs="Courier New"/>
      </w:rPr>
      <w:start w:val="1"/>
      <w:suff w:val="tab"/>
    </w:lvl>
    <w:lvl w:ilvl="8">
      <w:isLgl w:val="false"/>
      <w:lvlJc w:val="left"/>
      <w:lvlText w:val=""/>
      <w:numFmt w:val="bullet"/>
      <w:pPr>
        <w:pBdr/>
        <w:spacing/>
        <w:ind w:hanging="360" w:left="6971"/>
      </w:pPr>
      <w:rPr>
        <w:rFonts w:hint="default" w:ascii="Wingdings" w:hAnsi="Wingdings"/>
      </w:rPr>
      <w:start w:val="1"/>
      <w:suff w:val="tab"/>
    </w:lvl>
  </w:abstractNum>
  <w:abstractNum w:abstractNumId="6">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9">
    <w:lvl w:ilvl="0">
      <w:isLgl w:val="false"/>
      <w:lvlJc w:val="left"/>
      <w:lvlText w:val="%1"/>
      <w:numFmt w:val="decimal"/>
      <w:pPr>
        <w:pBdr/>
        <w:tabs>
          <w:tab w:val="num" w:leader="none" w:pos="432"/>
        </w:tabs>
        <w:spacing/>
        <w:ind w:hanging="432" w:left="432"/>
      </w:pPr>
      <w:pStyle w:val="955"/>
      <w:rPr>
        <w:rFonts w:hint="default"/>
      </w:rPr>
      <w:start w:val="2"/>
      <w:suff w:val="tab"/>
    </w:lvl>
    <w:lvl w:ilvl="1">
      <w:isLgl w:val="false"/>
      <w:lvlJc w:val="left"/>
      <w:lvlText w:val="%1.%2"/>
      <w:numFmt w:val="decimal"/>
      <w:pPr>
        <w:pBdr/>
        <w:tabs>
          <w:tab w:val="num" w:leader="none" w:pos="576"/>
        </w:tabs>
        <w:spacing/>
        <w:ind w:hanging="576" w:left="576"/>
      </w:pPr>
      <w:pStyle w:val="956"/>
      <w:rPr>
        <w:rFonts w:hint="default"/>
      </w:rPr>
      <w:start w:val="1"/>
      <w:suff w:val="tab"/>
    </w:lvl>
    <w:lvl w:ilvl="2">
      <w:isLgl w:val="false"/>
      <w:lvlJc w:val="left"/>
      <w:lvlText w:val="%1.%2.%3"/>
      <w:numFmt w:val="decimal"/>
      <w:pPr>
        <w:pBdr/>
        <w:tabs>
          <w:tab w:val="num" w:leader="none" w:pos="720"/>
        </w:tabs>
        <w:spacing/>
        <w:ind w:hanging="720" w:left="720"/>
      </w:pPr>
      <w:pStyle w:val="957"/>
      <w:rPr>
        <w:rFonts w:hint="default"/>
      </w:rPr>
      <w:start w:val="1"/>
      <w:suff w:val="tab"/>
    </w:lvl>
    <w:lvl w:ilvl="3">
      <w:isLgl w:val="false"/>
      <w:lvlJc w:val="left"/>
      <w:lvlText w:val="%1.%2.%3.%4"/>
      <w:numFmt w:val="decimal"/>
      <w:pPr>
        <w:pBdr/>
        <w:tabs>
          <w:tab w:val="num" w:leader="none" w:pos="864"/>
        </w:tabs>
        <w:spacing/>
        <w:ind w:hanging="864" w:left="864"/>
      </w:pPr>
      <w:pStyle w:val="958"/>
      <w:rPr>
        <w:rFonts w:hint="default"/>
      </w:rPr>
      <w:start w:val="1"/>
      <w:suff w:val="tab"/>
    </w:lvl>
    <w:lvl w:ilvl="4">
      <w:isLgl w:val="false"/>
      <w:lvlJc w:val="left"/>
      <w:lvlText w:val="%1.%2.%3.%4.%5"/>
      <w:numFmt w:val="decimal"/>
      <w:pPr>
        <w:pBdr/>
        <w:tabs>
          <w:tab w:val="num" w:leader="none" w:pos="1008"/>
        </w:tabs>
        <w:spacing/>
        <w:ind w:hanging="1008" w:left="1008"/>
      </w:pPr>
      <w:pStyle w:val="959"/>
      <w:rPr>
        <w:rFonts w:hint="default"/>
      </w:rPr>
      <w:start w:val="1"/>
      <w:suff w:val="tab"/>
    </w:lvl>
    <w:lvl w:ilvl="5">
      <w:isLgl w:val="false"/>
      <w:lvlJc w:val="left"/>
      <w:lvlText w:val="%1.%2.%3.%4.%5.%6"/>
      <w:numFmt w:val="decimal"/>
      <w:pPr>
        <w:pBdr/>
        <w:tabs>
          <w:tab w:val="num" w:leader="none" w:pos="1152"/>
        </w:tabs>
        <w:spacing/>
        <w:ind w:hanging="1152" w:left="1152"/>
      </w:pPr>
      <w:pStyle w:val="960"/>
      <w:rPr>
        <w:rFonts w:hint="default"/>
      </w:rPr>
      <w:start w:val="1"/>
      <w:suff w:val="tab"/>
    </w:lvl>
    <w:lvl w:ilvl="6">
      <w:isLgl w:val="false"/>
      <w:lvlJc w:val="left"/>
      <w:lvlText w:val="%1.%2.%3.%4.%5.%6.%7"/>
      <w:numFmt w:val="decimal"/>
      <w:pPr>
        <w:pBdr/>
        <w:tabs>
          <w:tab w:val="num" w:leader="none" w:pos="1296"/>
        </w:tabs>
        <w:spacing/>
        <w:ind w:hanging="1296" w:left="1296"/>
      </w:pPr>
      <w:pStyle w:val="961"/>
      <w:rPr>
        <w:rFonts w:hint="default"/>
      </w:rPr>
      <w:start w:val="1"/>
      <w:suff w:val="tab"/>
    </w:lvl>
    <w:lvl w:ilvl="7">
      <w:isLgl w:val="false"/>
      <w:lvlJc w:val="left"/>
      <w:lvlText w:val="%1.%2.%3.%4.%5.%6.%7.%8"/>
      <w:numFmt w:val="decimal"/>
      <w:pPr>
        <w:pBdr/>
        <w:tabs>
          <w:tab w:val="num" w:leader="none" w:pos="1440"/>
        </w:tabs>
        <w:spacing/>
        <w:ind w:hanging="1440" w:left="1440"/>
      </w:pPr>
      <w:pStyle w:val="962"/>
      <w:rPr>
        <w:rFonts w:hint="default"/>
      </w:rPr>
      <w:start w:val="1"/>
      <w:suff w:val="tab"/>
    </w:lvl>
    <w:lvl w:ilvl="8">
      <w:isLgl w:val="false"/>
      <w:lvlJc w:val="left"/>
      <w:lvlText w:val="%1.%2.%3.%4.%5.%6.%7.%8.%9"/>
      <w:numFmt w:val="decimal"/>
      <w:pPr>
        <w:pBdr/>
        <w:tabs>
          <w:tab w:val="num" w:leader="none" w:pos="1584"/>
        </w:tabs>
        <w:spacing/>
        <w:ind w:hanging="1584" w:left="1584"/>
      </w:pPr>
      <w:pStyle w:val="963"/>
      <w:rPr>
        <w:rFonts w:hint="default"/>
      </w:rPr>
      <w:start w:val="1"/>
      <w:suff w:val="tab"/>
    </w:lvl>
  </w:abstractNum>
  <w:abstractNum w:abstractNumId="10">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2.1"/>
      <w:numFmt w:val="decimal"/>
      <w:pPr>
        <w:pBdr/>
        <w:tabs>
          <w:tab w:val="num" w:leader="none" w:pos="720"/>
        </w:tabs>
        <w:spacing/>
        <w:ind w:hanging="432" w:left="432"/>
      </w:pPr>
      <w:rPr>
        <w:rFonts w:hint="default"/>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1">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12">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3">
    <w:lvl w:ilvl="0">
      <w:isLgl w:val="false"/>
      <w:lvlJc w:val="left"/>
      <w:lvlText w:val="%1."/>
      <w:numFmt w:val="decimal"/>
      <w:pPr>
        <w:pBdr/>
        <w:spacing/>
        <w:ind w:hanging="390" w:left="390"/>
      </w:pPr>
      <w:rPr>
        <w:rFonts w:hint="default"/>
      </w:rPr>
      <w:start w:val="7"/>
      <w:suff w:val="tab"/>
    </w:lvl>
    <w:lvl w:ilvl="1">
      <w:isLgl w:val="false"/>
      <w:lvlJc w:val="left"/>
      <w:lvlText w:val="%1.%2."/>
      <w:numFmt w:val="decimal"/>
      <w:pPr>
        <w:pBdr/>
        <w:spacing/>
        <w:ind w:hanging="720" w:left="1512"/>
      </w:pPr>
      <w:rPr>
        <w:rFonts w:hint="default"/>
      </w:rPr>
      <w:start w:val="1"/>
      <w:suff w:val="tab"/>
    </w:lvl>
    <w:lvl w:ilvl="2">
      <w:isLgl w:val="false"/>
      <w:lvlJc w:val="left"/>
      <w:lvlText w:val="%1.%2.%3."/>
      <w:numFmt w:val="decimal"/>
      <w:pPr>
        <w:pBdr/>
        <w:spacing/>
        <w:ind w:hanging="720" w:left="2304"/>
      </w:pPr>
      <w:rPr>
        <w:rFonts w:hint="default"/>
      </w:rPr>
      <w:start w:val="1"/>
      <w:suff w:val="tab"/>
    </w:lvl>
    <w:lvl w:ilvl="3">
      <w:isLgl w:val="false"/>
      <w:lvlJc w:val="left"/>
      <w:lvlText w:val="%1.%2.%3.%4."/>
      <w:numFmt w:val="decimal"/>
      <w:pPr>
        <w:pBdr/>
        <w:spacing/>
        <w:ind w:hanging="1080" w:left="3456"/>
      </w:pPr>
      <w:rPr>
        <w:rFonts w:hint="default"/>
      </w:rPr>
      <w:start w:val="1"/>
      <w:suff w:val="tab"/>
    </w:lvl>
    <w:lvl w:ilvl="4">
      <w:isLgl w:val="false"/>
      <w:lvlJc w:val="left"/>
      <w:lvlText w:val="%1.%2.%3.%4.%5."/>
      <w:numFmt w:val="decimal"/>
      <w:pPr>
        <w:pBdr/>
        <w:spacing/>
        <w:ind w:hanging="1080" w:left="4248"/>
      </w:pPr>
      <w:rPr>
        <w:rFonts w:hint="default"/>
      </w:rPr>
      <w:start w:val="1"/>
      <w:suff w:val="tab"/>
    </w:lvl>
    <w:lvl w:ilvl="5">
      <w:isLgl w:val="false"/>
      <w:lvlJc w:val="left"/>
      <w:lvlText w:val="%1.%2.%3.%4.%5.%6."/>
      <w:numFmt w:val="decimal"/>
      <w:pPr>
        <w:pBdr/>
        <w:spacing/>
        <w:ind w:hanging="1440" w:left="5400"/>
      </w:pPr>
      <w:rPr>
        <w:rFonts w:hint="default"/>
      </w:rPr>
      <w:start w:val="1"/>
      <w:suff w:val="tab"/>
    </w:lvl>
    <w:lvl w:ilvl="6">
      <w:isLgl w:val="false"/>
      <w:lvlJc w:val="left"/>
      <w:lvlText w:val="%1.%2.%3.%4.%5.%6.%7."/>
      <w:numFmt w:val="decimal"/>
      <w:pPr>
        <w:pBdr/>
        <w:spacing/>
        <w:ind w:hanging="1440" w:left="6192"/>
      </w:pPr>
      <w:rPr>
        <w:rFonts w:hint="default"/>
      </w:rPr>
      <w:start w:val="1"/>
      <w:suff w:val="tab"/>
    </w:lvl>
    <w:lvl w:ilvl="7">
      <w:isLgl w:val="false"/>
      <w:lvlJc w:val="left"/>
      <w:lvlText w:val="%1.%2.%3.%4.%5.%6.%7.%8."/>
      <w:numFmt w:val="decimal"/>
      <w:pPr>
        <w:pBdr/>
        <w:spacing/>
        <w:ind w:hanging="1800" w:left="7344"/>
      </w:pPr>
      <w:rPr>
        <w:rFonts w:hint="default"/>
      </w:rPr>
      <w:start w:val="1"/>
      <w:suff w:val="tab"/>
    </w:lvl>
    <w:lvl w:ilvl="8">
      <w:isLgl w:val="false"/>
      <w:lvlJc w:val="left"/>
      <w:lvlText w:val="%1.%2.%3.%4.%5.%6.%7.%8.%9."/>
      <w:numFmt w:val="decimal"/>
      <w:pPr>
        <w:pBdr/>
        <w:spacing/>
        <w:ind w:hanging="2160" w:left="8496"/>
      </w:pPr>
      <w:rPr>
        <w:rFonts w:hint="default"/>
      </w:rPr>
      <w:start w:val="1"/>
      <w:suff w:val="tab"/>
    </w:lvl>
  </w:abstractNum>
  <w:abstractNum w:abstractNumId="14">
    <w:lvl w:ilvl="0">
      <w:isLgl w:val="false"/>
      <w:lvlJc w:val="left"/>
      <w:lvlText w:val=""/>
      <w:numFmt w:val="bullet"/>
      <w:pPr>
        <w:pBdr/>
        <w:spacing/>
        <w:ind w:hanging="360" w:left="1429"/>
      </w:pPr>
      <w:rPr>
        <w:rFonts w:hint="default" w:ascii="Symbol" w:hAnsi="Symbol"/>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15">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1"/>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1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1.%2."/>
      <w:numFmt w:val="decimal"/>
      <w:pPr>
        <w:pBdr/>
        <w:tabs>
          <w:tab w:val="num" w:leader="none" w:pos="720"/>
        </w:tabs>
        <w:spacing/>
        <w:ind w:hanging="432" w:left="432"/>
      </w:pPr>
      <w:rPr>
        <w:rFonts w:hint="default"/>
        <w:b w:val="0"/>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1">
    <w:lvl w:ilvl="0">
      <w:isLgl w:val="false"/>
      <w:lvlJc w:val="left"/>
      <w:lvlText w:val="%1."/>
      <w:numFmt w:val="decimal"/>
      <w:pPr>
        <w:pBdr/>
        <w:tabs>
          <w:tab w:val="num" w:leader="none" w:pos="360"/>
        </w:tabs>
        <w:spacing/>
        <w:ind w:hanging="360" w:left="360"/>
      </w:pPr>
      <w:rPr>
        <w:rFonts w:hint="default"/>
        <w:b/>
      </w:rPr>
      <w:start w:val="2"/>
      <w:suff w:val="tab"/>
    </w:lvl>
    <w:lvl w:ilvl="1">
      <w:isLgl w:val="false"/>
      <w:lvlJc w:val="left"/>
      <w:lvlText w:val="%1.%2."/>
      <w:numFmt w:val="decimal"/>
      <w:pPr>
        <w:pBdr/>
        <w:tabs>
          <w:tab w:val="num" w:leader="none" w:pos="720"/>
        </w:tabs>
        <w:spacing/>
        <w:ind w:hanging="432" w:left="432"/>
      </w:pPr>
      <w:rPr>
        <w:rFonts w:hint="default"/>
        <w:b/>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2">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
      <w:numFmt w:val="bullet"/>
      <w:pPr>
        <w:pBdr/>
        <w:tabs>
          <w:tab w:val="num" w:leader="none" w:pos="720"/>
        </w:tabs>
        <w:spacing/>
        <w:ind w:hanging="432" w:left="432"/>
      </w:pPr>
      <w:rPr>
        <w:rFonts w:hint="default" w:ascii="Symbol" w:hAnsi="Symbol"/>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2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4"/>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27">
    <w:styleLink w:val="1158"/>
    <w:lvl w:ilvl="0">
      <w:isLgl w:val="false"/>
      <w:lvlJc w:val="left"/>
      <w:lvlText w:val="%1."/>
      <w:numFmt w:val="decimal"/>
      <w:pPr>
        <w:pBdr/>
        <w:tabs>
          <w:tab w:val="num" w:leader="none" w:pos="360"/>
        </w:tabs>
        <w:spacing/>
        <w:ind w:hanging="360" w:left="360"/>
      </w:pPr>
      <w:pStyle w:val="1158"/>
      <w:rPr>
        <w:rFonts w:hint="default"/>
      </w:rPr>
      <w:start w:val="4"/>
      <w:suff w:val="tab"/>
    </w:lvl>
    <w:lvl w:ilvl="1">
      <w:isLgl w:val="false"/>
      <w:lvlJc w:val="left"/>
      <w:lvlText w:val="%1.%2."/>
      <w:numFmt w:val="decimal"/>
      <w:pPr>
        <w:pBdr/>
        <w:tabs>
          <w:tab w:val="num" w:leader="none" w:pos="720"/>
        </w:tabs>
        <w:spacing/>
        <w:ind w:hanging="432" w:left="432"/>
      </w:pPr>
      <w:rPr>
        <w:rFonts w:hint="default"/>
        <w:b w:val="0"/>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9">
    <w:lvl w:ilvl="0">
      <w:isLgl w:val="false"/>
      <w:lvlJc w:val="left"/>
      <w:lvlText w:val=""/>
      <w:numFmt w:val="bullet"/>
      <w:pPr>
        <w:pBdr/>
        <w:tabs>
          <w:tab w:val="num" w:leader="none" w:pos="964"/>
        </w:tabs>
        <w:spacing/>
        <w:ind w:hanging="964" w:left="964"/>
      </w:pPr>
      <w:pStyle w:val="1130"/>
      <w:rPr>
        <w:rFonts w:hint="default" w:ascii="Monotype Sorts" w:hAnsi="Monotype Sorts"/>
        <w:sz w:val="18"/>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22"/>
  </w:num>
  <w:num w:numId="2">
    <w:abstractNumId w:val="10"/>
  </w:num>
  <w:num w:numId="3">
    <w:abstractNumId w:val="29"/>
  </w:num>
  <w:num w:numId="4">
    <w:abstractNumId w:val="6"/>
  </w:num>
  <w:num w:numId="5">
    <w:abstractNumId w:val="8"/>
  </w:num>
  <w:num w:numId="6">
    <w:abstractNumId w:val="18"/>
  </w:num>
  <w:num w:numId="7">
    <w:abstractNumId w:val="20"/>
  </w:num>
  <w:num w:numId="8">
    <w:abstractNumId w:val="23"/>
  </w:num>
  <w:num w:numId="9">
    <w:abstractNumId w:val="1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7"/>
  </w:num>
  <w:num w:numId="13">
    <w:abstractNumId w:val="13"/>
  </w:num>
  <w:num w:numId="14">
    <w:abstractNumId w:val="12"/>
  </w:num>
  <w:num w:numId="15">
    <w:abstractNumId w:val="7"/>
  </w:num>
  <w:num w:numId="16">
    <w:abstractNumId w:val="21"/>
  </w:num>
  <w:num w:numId="17">
    <w:abstractNumId w:val="11"/>
  </w:num>
  <w:num w:numId="18">
    <w:abstractNumId w:val="25"/>
  </w:num>
  <w:num w:numId="19">
    <w:abstractNumId w:val="15"/>
  </w:num>
  <w:num w:numId="20">
    <w:abstractNumId w:val="28"/>
  </w:num>
  <w:num w:numId="21">
    <w:abstractNumId w:val="2"/>
  </w:num>
  <w:num w:numId="22">
    <w:abstractNumId w:val="1"/>
  </w:num>
  <w:num w:numId="23">
    <w:abstractNumId w:val="9"/>
  </w:num>
  <w:num w:numId="24">
    <w:abstractNumId w:val="27"/>
  </w:num>
  <w:num w:numId="25">
    <w:abstractNumId w:val="14"/>
  </w:num>
  <w:num w:numId="26">
    <w:abstractNumId w:val="5"/>
  </w:num>
  <w:num w:numId="27">
    <w:abstractNumId w:val="19"/>
  </w:num>
  <w:num w:numId="28">
    <w:abstractNumId w:val="4"/>
  </w:num>
  <w:num w:numId="29">
    <w:abstractNumId w:val="26"/>
  </w:num>
  <w:num w:numId="30">
    <w:abstractNumId w:val="2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71">
    <w:name w:val="Table Grid Light"/>
    <w:basedOn w:val="96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1"/>
    <w:basedOn w:val="96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2"/>
    <w:basedOn w:val="96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 Accent 3"/>
    <w:basedOn w:val="96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1 Light - Accent 4"/>
    <w:basedOn w:val="96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1 Light - Accent 5"/>
    <w:basedOn w:val="96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 Accent 6"/>
    <w:basedOn w:val="96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1"/>
    <w:basedOn w:val="9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2"/>
    <w:basedOn w:val="9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3"/>
    <w:basedOn w:val="9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 Accent 4"/>
    <w:basedOn w:val="9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2 - Accent 5"/>
    <w:basedOn w:val="9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2 - Accent 6"/>
    <w:basedOn w:val="9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1"/>
    <w:basedOn w:val="9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2"/>
    <w:basedOn w:val="9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3"/>
    <w:basedOn w:val="9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4"/>
    <w:basedOn w:val="9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 Accent 5"/>
    <w:basedOn w:val="9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3 - Accent 6"/>
    <w:basedOn w:val="9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1"/>
    <w:basedOn w:val="96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2"/>
    <w:basedOn w:val="96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3"/>
    <w:basedOn w:val="96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4"/>
    <w:basedOn w:val="96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5"/>
    <w:basedOn w:val="96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 Accent 6"/>
    <w:basedOn w:val="96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 Accent 2"/>
    <w:basedOn w:val="9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 Accent 3"/>
    <w:basedOn w:val="9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5"/>
    <w:basedOn w:val="9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 Accent 6"/>
    <w:basedOn w:val="9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 Accent 1"/>
    <w:basedOn w:val="96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01">
    <w:name w:val="Grid Table 6 Colorful - Accent 2"/>
    <w:basedOn w:val="9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02">
    <w:name w:val="Grid Table 6 Colorful - Accent 3"/>
    <w:basedOn w:val="96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03">
    <w:name w:val="Grid Table 6 Colorful - Accent 4"/>
    <w:basedOn w:val="9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04">
    <w:name w:val="Grid Table 6 Colorful - Accent 5"/>
    <w:basedOn w:val="96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05">
    <w:name w:val="Grid Table 6 Colorful - Accent 6"/>
    <w:basedOn w:val="96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06">
    <w:name w:val="Grid Table 7 Colorful - Accent 1"/>
    <w:basedOn w:val="96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7 Colorful - Accent 2"/>
    <w:basedOn w:val="96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 Accent 3"/>
    <w:basedOn w:val="96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7 Colorful - Accent 4"/>
    <w:basedOn w:val="96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 Accent 5"/>
    <w:basedOn w:val="96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6"/>
    <w:basedOn w:val="96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 Accent 1"/>
    <w:basedOn w:val="9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 Accent 2"/>
    <w:basedOn w:val="9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 Accent 3"/>
    <w:basedOn w:val="9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1 Light - Accent 4"/>
    <w:basedOn w:val="9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 Accent 5"/>
    <w:basedOn w:val="9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 Accent 6"/>
    <w:basedOn w:val="9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 Accent 1"/>
    <w:basedOn w:val="96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 Accent 2"/>
    <w:basedOn w:val="96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 Accent 3"/>
    <w:basedOn w:val="96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2 - Accent 4"/>
    <w:basedOn w:val="96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2 - Accent 5"/>
    <w:basedOn w:val="96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 Accent 6"/>
    <w:basedOn w:val="96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 Accent 1"/>
    <w:basedOn w:val="96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 Accent 2"/>
    <w:basedOn w:val="9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 Accent 3"/>
    <w:basedOn w:val="96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 Accent 4"/>
    <w:basedOn w:val="9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3 - Accent 5"/>
    <w:basedOn w:val="96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3 - Accent 6"/>
    <w:basedOn w:val="96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 Accent 1"/>
    <w:basedOn w:val="96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 Accent 2"/>
    <w:basedOn w:val="96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 Accent 3"/>
    <w:basedOn w:val="96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 Accent 4"/>
    <w:basedOn w:val="96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 Accent 5"/>
    <w:basedOn w:val="96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4 - Accent 6"/>
    <w:basedOn w:val="96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 Accent 1"/>
    <w:basedOn w:val="96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37">
    <w:name w:val="List Table 5 Dark - Accent 2"/>
    <w:basedOn w:val="96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38">
    <w:name w:val="List Table 5 Dark - Accent 3"/>
    <w:basedOn w:val="96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39">
    <w:name w:val="List Table 5 Dark - Accent 4"/>
    <w:basedOn w:val="96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0">
    <w:name w:val="List Table 5 Dark - Accent 5"/>
    <w:basedOn w:val="96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1">
    <w:name w:val="List Table 5 Dark - Accent 6"/>
    <w:basedOn w:val="96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2">
    <w:name w:val="List Table 6 Colorful - Accent 1"/>
    <w:basedOn w:val="96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 Accent 2"/>
    <w:basedOn w:val="96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 Accent 3"/>
    <w:basedOn w:val="96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 Accent 4"/>
    <w:basedOn w:val="96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 Accent 5"/>
    <w:basedOn w:val="96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 Accent 6"/>
    <w:basedOn w:val="96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7 Colorful - Accent 1"/>
    <w:basedOn w:val="96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949">
    <w:name w:val="List Table 7 Colorful - Accent 2"/>
    <w:basedOn w:val="96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950">
    <w:name w:val="List Table 7 Colorful - Accent 3"/>
    <w:basedOn w:val="96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951">
    <w:name w:val="List Table 7 Colorful - Accent 4"/>
    <w:basedOn w:val="96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952">
    <w:name w:val="List Table 7 Colorful - Accent 5"/>
    <w:basedOn w:val="96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953">
    <w:name w:val="List Table 7 Colorful - Accent 6"/>
    <w:basedOn w:val="96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954" w:default="1">
    <w:name w:val="Normal"/>
    <w:qFormat/>
    <w:pPr>
      <w:pBdr/>
      <w:spacing w:after="0" w:line="240" w:lineRule="auto"/>
      <w:ind/>
    </w:pPr>
    <w:rPr>
      <w:rFonts w:ascii="Times New Roman" w:hAnsi="Times New Roman" w:eastAsia="Times New Roman" w:cs="Times New Roman"/>
      <w:sz w:val="20"/>
      <w:szCs w:val="20"/>
      <w:lang w:val="en-AU"/>
    </w:rPr>
  </w:style>
  <w:style w:type="paragraph" w:styleId="955">
    <w:name w:val="Heading 1"/>
    <w:basedOn w:val="954"/>
    <w:next w:val="954"/>
    <w:link w:val="1149"/>
    <w:qFormat/>
    <w:pPr>
      <w:keepNext w:val="true"/>
      <w:numPr>
        <w:numId w:val="23"/>
      </w:numPr>
      <w:pBdr/>
      <w:spacing/>
      <w:ind/>
      <w:jc w:val="center"/>
      <w:outlineLvl w:val="0"/>
    </w:pPr>
    <w:rPr>
      <w:rFonts w:ascii="Tms Rmn" w:hAnsi="Tms Rmn"/>
      <w:b/>
      <w:bCs/>
      <w:sz w:val="24"/>
      <w:szCs w:val="24"/>
    </w:rPr>
  </w:style>
  <w:style w:type="paragraph" w:styleId="956">
    <w:name w:val="Heading 2"/>
    <w:basedOn w:val="954"/>
    <w:next w:val="954"/>
    <w:link w:val="1150"/>
    <w:qFormat/>
    <w:pPr>
      <w:keepNext w:val="true"/>
      <w:numPr>
        <w:ilvl w:val="1"/>
        <w:numId w:val="23"/>
      </w:numPr>
      <w:pBdr/>
      <w:spacing w:after="60" w:before="240"/>
      <w:ind/>
      <w:outlineLvl w:val="1"/>
    </w:pPr>
    <w:rPr>
      <w:rFonts w:ascii="Arial" w:hAnsi="Arial" w:cs="Arial"/>
      <w:b/>
      <w:bCs/>
      <w:i/>
      <w:iCs/>
      <w:sz w:val="28"/>
      <w:szCs w:val="28"/>
    </w:rPr>
  </w:style>
  <w:style w:type="paragraph" w:styleId="957">
    <w:name w:val="Heading 3"/>
    <w:basedOn w:val="954"/>
    <w:next w:val="954"/>
    <w:link w:val="1151"/>
    <w:qFormat/>
    <w:pPr>
      <w:keepNext w:val="true"/>
      <w:numPr>
        <w:ilvl w:val="2"/>
        <w:numId w:val="23"/>
      </w:numPr>
      <w:pBdr/>
      <w:spacing w:after="60" w:before="240"/>
      <w:ind/>
      <w:outlineLvl w:val="2"/>
    </w:pPr>
    <w:rPr>
      <w:rFonts w:ascii="Arial" w:hAnsi="Arial" w:cs="Arial"/>
      <w:b/>
      <w:bCs/>
      <w:sz w:val="26"/>
      <w:szCs w:val="26"/>
    </w:rPr>
  </w:style>
  <w:style w:type="paragraph" w:styleId="958">
    <w:name w:val="Heading 4"/>
    <w:basedOn w:val="954"/>
    <w:next w:val="954"/>
    <w:link w:val="1152"/>
    <w:qFormat/>
    <w:pPr>
      <w:keepNext w:val="true"/>
      <w:numPr>
        <w:ilvl w:val="3"/>
        <w:numId w:val="23"/>
      </w:numPr>
      <w:pBdr/>
      <w:spacing w:after="60" w:before="240"/>
      <w:ind/>
      <w:outlineLvl w:val="3"/>
    </w:pPr>
    <w:rPr>
      <w:b/>
      <w:bCs/>
      <w:sz w:val="28"/>
      <w:szCs w:val="28"/>
    </w:rPr>
  </w:style>
  <w:style w:type="paragraph" w:styleId="959">
    <w:name w:val="Heading 5"/>
    <w:basedOn w:val="954"/>
    <w:next w:val="954"/>
    <w:link w:val="1153"/>
    <w:qFormat/>
    <w:pPr>
      <w:numPr>
        <w:ilvl w:val="4"/>
        <w:numId w:val="23"/>
      </w:numPr>
      <w:pBdr/>
      <w:spacing w:after="60" w:before="240"/>
      <w:ind/>
      <w:outlineLvl w:val="4"/>
    </w:pPr>
    <w:rPr>
      <w:b/>
      <w:bCs/>
      <w:i/>
      <w:iCs/>
      <w:sz w:val="26"/>
      <w:szCs w:val="26"/>
    </w:rPr>
  </w:style>
  <w:style w:type="paragraph" w:styleId="960">
    <w:name w:val="Heading 6"/>
    <w:basedOn w:val="954"/>
    <w:next w:val="954"/>
    <w:link w:val="1154"/>
    <w:qFormat/>
    <w:pPr>
      <w:numPr>
        <w:ilvl w:val="5"/>
        <w:numId w:val="23"/>
      </w:numPr>
      <w:pBdr/>
      <w:spacing w:after="60" w:before="240"/>
      <w:ind/>
      <w:outlineLvl w:val="5"/>
    </w:pPr>
    <w:rPr>
      <w:b/>
      <w:bCs/>
      <w:sz w:val="22"/>
      <w:szCs w:val="22"/>
    </w:rPr>
  </w:style>
  <w:style w:type="paragraph" w:styleId="961">
    <w:name w:val="Heading 7"/>
    <w:basedOn w:val="954"/>
    <w:next w:val="954"/>
    <w:link w:val="1155"/>
    <w:qFormat/>
    <w:pPr>
      <w:numPr>
        <w:ilvl w:val="6"/>
        <w:numId w:val="23"/>
      </w:numPr>
      <w:pBdr/>
      <w:spacing w:after="60" w:before="240"/>
      <w:ind/>
      <w:outlineLvl w:val="6"/>
    </w:pPr>
    <w:rPr>
      <w:sz w:val="24"/>
      <w:szCs w:val="24"/>
    </w:rPr>
  </w:style>
  <w:style w:type="paragraph" w:styleId="962">
    <w:name w:val="Heading 8"/>
    <w:basedOn w:val="954"/>
    <w:next w:val="954"/>
    <w:link w:val="1156"/>
    <w:qFormat/>
    <w:pPr>
      <w:numPr>
        <w:ilvl w:val="7"/>
        <w:numId w:val="23"/>
      </w:numPr>
      <w:pBdr/>
      <w:spacing w:after="60" w:before="240"/>
      <w:ind/>
      <w:outlineLvl w:val="7"/>
    </w:pPr>
    <w:rPr>
      <w:i/>
      <w:iCs/>
      <w:sz w:val="24"/>
      <w:szCs w:val="24"/>
    </w:rPr>
  </w:style>
  <w:style w:type="paragraph" w:styleId="963">
    <w:name w:val="Heading 9"/>
    <w:basedOn w:val="954"/>
    <w:next w:val="954"/>
    <w:link w:val="1157"/>
    <w:qFormat/>
    <w:pPr>
      <w:numPr>
        <w:ilvl w:val="8"/>
        <w:numId w:val="23"/>
      </w:numPr>
      <w:pBdr/>
      <w:spacing w:after="60" w:before="240"/>
      <w:ind/>
      <w:outlineLvl w:val="8"/>
    </w:pPr>
    <w:rPr>
      <w:rFonts w:ascii="Arial" w:hAnsi="Arial" w:cs="Arial"/>
      <w:sz w:val="22"/>
      <w:szCs w:val="22"/>
    </w:rPr>
  </w:style>
  <w:style w:type="character" w:styleId="964" w:default="1">
    <w:name w:val="Default Paragraph Font"/>
    <w:uiPriority w:val="1"/>
    <w:semiHidden/>
    <w:unhideWhenUsed/>
    <w:pPr>
      <w:pBdr/>
      <w:spacing/>
      <w:ind/>
    </w:pPr>
  </w:style>
  <w:style w:type="table" w:styleId="96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66" w:default="1">
    <w:name w:val="No List"/>
    <w:uiPriority w:val="99"/>
    <w:semiHidden/>
    <w:unhideWhenUsed/>
    <w:pPr>
      <w:pBdr/>
      <w:spacing/>
      <w:ind/>
    </w:pPr>
  </w:style>
  <w:style w:type="table" w:styleId="967">
    <w:name w:val="Grid Table Light"/>
    <w:basedOn w:val="96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Plain Table 1"/>
    <w:basedOn w:val="96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Plain Table 2"/>
    <w:basedOn w:val="965"/>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Plain Table 3"/>
    <w:basedOn w:val="96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Plain Table 4"/>
    <w:basedOn w:val="96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Plain Table 5"/>
    <w:basedOn w:val="96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Grid Table 1 Light"/>
    <w:basedOn w:val="965"/>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Grid Table 1 Light Accent 1"/>
    <w:basedOn w:val="965"/>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Grid Table 1 Light Accent 2"/>
    <w:basedOn w:val="965"/>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Grid Table 1 Light Accent 3"/>
    <w:basedOn w:val="965"/>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Grid Table 1 Light Accent 4"/>
    <w:basedOn w:val="965"/>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Grid Table 1 Light Accent 5"/>
    <w:basedOn w:val="965"/>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Grid Table 1 Light Accent 6"/>
    <w:basedOn w:val="965"/>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Grid Table 2"/>
    <w:basedOn w:val="96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Grid Table 2 Accent 1"/>
    <w:basedOn w:val="965"/>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Grid Table 2 Accent 2"/>
    <w:basedOn w:val="965"/>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Grid Table 2 Accent 3"/>
    <w:basedOn w:val="965"/>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Grid Table 2 Accent 4"/>
    <w:basedOn w:val="965"/>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Grid Table 2 Accent 5"/>
    <w:basedOn w:val="965"/>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Grid Table 2 Accent 6"/>
    <w:basedOn w:val="965"/>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Grid Table 3"/>
    <w:basedOn w:val="96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Grid Table 3 Accent 1"/>
    <w:basedOn w:val="965"/>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Grid Table 3 Accent 2"/>
    <w:basedOn w:val="965"/>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Grid Table 3 Accent 3"/>
    <w:basedOn w:val="965"/>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Grid Table 3 Accent 4"/>
    <w:basedOn w:val="965"/>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Grid Table 3 Accent 5"/>
    <w:basedOn w:val="965"/>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Grid Table 3 Accent 6"/>
    <w:basedOn w:val="965"/>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Grid Table 4"/>
    <w:basedOn w:val="965"/>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Grid Table 4 Accent 1"/>
    <w:basedOn w:val="965"/>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Grid Table 4 Accent 2"/>
    <w:basedOn w:val="965"/>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name w:val="Grid Table 4 Accent 3"/>
    <w:basedOn w:val="965"/>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Grid Table 4 Accent 4"/>
    <w:basedOn w:val="965"/>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name w:val="Grid Table 4 Accent 5"/>
    <w:basedOn w:val="965"/>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name w:val="Grid Table 4 Accent 6"/>
    <w:basedOn w:val="965"/>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Grid Table 5 Dark"/>
    <w:basedOn w:val="96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customStyle="1">
    <w:name w:val="Grid Table 5 Dark- Accent 1"/>
    <w:basedOn w:val="96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Grid Table 5 Dark Accent 2"/>
    <w:basedOn w:val="96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Grid Table 5 Dark Accent 3"/>
    <w:basedOn w:val="96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customStyle="1">
    <w:name w:val="Grid Table 5 Dark- Accent 4"/>
    <w:basedOn w:val="96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Grid Table 5 Dark Accent 5"/>
    <w:basedOn w:val="96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Grid Table 5 Dark Accent 6"/>
    <w:basedOn w:val="96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Grid Table 6 Colorful"/>
    <w:basedOn w:val="965"/>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Grid Table 6 Colorful Accent 1"/>
    <w:basedOn w:val="965"/>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Grid Table 6 Colorful Accent 2"/>
    <w:basedOn w:val="965"/>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Grid Table 6 Colorful Accent 3"/>
    <w:basedOn w:val="965"/>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Grid Table 6 Colorful Accent 4"/>
    <w:basedOn w:val="965"/>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Grid Table 6 Colorful Accent 5"/>
    <w:basedOn w:val="965"/>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Grid Table 6 Colorful Accent 6"/>
    <w:basedOn w:val="965"/>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Grid Table 7 Colorful"/>
    <w:basedOn w:val="965"/>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Grid Table 7 Colorful Accent 1"/>
    <w:basedOn w:val="965"/>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Grid Table 7 Colorful Accent 2"/>
    <w:basedOn w:val="965"/>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Grid Table 7 Colorful Accent 3"/>
    <w:basedOn w:val="965"/>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Grid Table 7 Colorful Accent 4"/>
    <w:basedOn w:val="965"/>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Grid Table 7 Colorful Accent 5"/>
    <w:basedOn w:val="965"/>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Grid Table 7 Colorful Accent 6"/>
    <w:basedOn w:val="965"/>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name w:val="List Table 1 Light"/>
    <w:basedOn w:val="96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name w:val="List Table 1 Light Accent 1"/>
    <w:basedOn w:val="96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name w:val="List Table 1 Light Accent 2"/>
    <w:basedOn w:val="96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name w:val="List Table 1 Light Accent 3"/>
    <w:basedOn w:val="96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name w:val="List Table 1 Light Accent 4"/>
    <w:basedOn w:val="96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name w:val="List Table 1 Light Accent 5"/>
    <w:basedOn w:val="96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name w:val="List Table 1 Light Accent 6"/>
    <w:basedOn w:val="96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name w:val="List Table 2"/>
    <w:basedOn w:val="965"/>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name w:val="List Table 2 Accent 1"/>
    <w:basedOn w:val="965"/>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name w:val="List Table 2 Accent 2"/>
    <w:basedOn w:val="965"/>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List Table 2 Accent 3"/>
    <w:basedOn w:val="965"/>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name w:val="List Table 2 Accent 4"/>
    <w:basedOn w:val="965"/>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name w:val="List Table 2 Accent 5"/>
    <w:basedOn w:val="965"/>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name w:val="List Table 2 Accent 6"/>
    <w:basedOn w:val="965"/>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name w:val="List Table 3"/>
    <w:basedOn w:val="96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name w:val="List Table 3 Accent 1"/>
    <w:basedOn w:val="965"/>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name w:val="List Table 3 Accent 2"/>
    <w:basedOn w:val="965"/>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name w:val="List Table 3 Accent 3"/>
    <w:basedOn w:val="965"/>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name w:val="List Table 3 Accent 4"/>
    <w:basedOn w:val="965"/>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name w:val="List Table 3 Accent 5"/>
    <w:basedOn w:val="965"/>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name w:val="List Table 3 Accent 6"/>
    <w:basedOn w:val="965"/>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name w:val="List Table 4"/>
    <w:basedOn w:val="96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name w:val="List Table 4 Accent 1"/>
    <w:basedOn w:val="965"/>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name w:val="List Table 4 Accent 2"/>
    <w:basedOn w:val="965"/>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name w:val="List Table 4 Accent 3"/>
    <w:basedOn w:val="965"/>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name w:val="List Table 4 Accent 4"/>
    <w:basedOn w:val="965"/>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name w:val="List Table 4 Accent 5"/>
    <w:basedOn w:val="965"/>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name w:val="List Table 4 Accent 6"/>
    <w:basedOn w:val="965"/>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name w:val="List Table 5 Dark"/>
    <w:basedOn w:val="965"/>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name w:val="List Table 5 Dark Accent 1"/>
    <w:basedOn w:val="965"/>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name w:val="List Table 5 Dark Accent 2"/>
    <w:basedOn w:val="965"/>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name w:val="List Table 5 Dark Accent 3"/>
    <w:basedOn w:val="965"/>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name w:val="List Table 5 Dark Accent 4"/>
    <w:basedOn w:val="965"/>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name w:val="List Table 5 Dark Accent 5"/>
    <w:basedOn w:val="965"/>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name w:val="List Table 5 Dark Accent 6"/>
    <w:basedOn w:val="965"/>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name w:val="List Table 6 Colorful"/>
    <w:basedOn w:val="965"/>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name w:val="List Table 6 Colorful Accent 1"/>
    <w:basedOn w:val="965"/>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name w:val="List Table 6 Colorful Accent 2"/>
    <w:basedOn w:val="965"/>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name w:val="List Table 6 Colorful Accent 3"/>
    <w:basedOn w:val="965"/>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name w:val="List Table 6 Colorful Accent 4"/>
    <w:basedOn w:val="965"/>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name w:val="List Table 6 Colorful Accent 5"/>
    <w:basedOn w:val="965"/>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name w:val="List Table 6 Colorful Accent 6"/>
    <w:basedOn w:val="965"/>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name w:val="List Table 7 Colorful"/>
    <w:basedOn w:val="965"/>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name w:val="List Table 7 Colorful Accent 1"/>
    <w:basedOn w:val="965"/>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name w:val="List Table 7 Colorful Accent 2"/>
    <w:basedOn w:val="965"/>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name w:val="List Table 7 Colorful Accent 3"/>
    <w:basedOn w:val="965"/>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8">
    <w:name w:val="List Table 7 Colorful Accent 4"/>
    <w:basedOn w:val="965"/>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9">
    <w:name w:val="List Table 7 Colorful Accent 5"/>
    <w:basedOn w:val="965"/>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0">
    <w:name w:val="List Table 7 Colorful Accent 6"/>
    <w:basedOn w:val="965"/>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1" w:customStyle="1">
    <w:name w:val="Lined - Accent"/>
    <w:basedOn w:val="965"/>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2" w:customStyle="1">
    <w:name w:val="Lined - Accent 1"/>
    <w:basedOn w:val="965"/>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3" w:customStyle="1">
    <w:name w:val="Lined - Accent 2"/>
    <w:basedOn w:val="965"/>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4" w:customStyle="1">
    <w:name w:val="Lined - Accent 3"/>
    <w:basedOn w:val="965"/>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5" w:customStyle="1">
    <w:name w:val="Lined - Accent 4"/>
    <w:basedOn w:val="965"/>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6" w:customStyle="1">
    <w:name w:val="Lined - Accent 5"/>
    <w:basedOn w:val="965"/>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7" w:customStyle="1">
    <w:name w:val="Lined - Accent 6"/>
    <w:basedOn w:val="965"/>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8" w:customStyle="1">
    <w:name w:val="Bordered &amp; Lined - Accent"/>
    <w:basedOn w:val="965"/>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9" w:customStyle="1">
    <w:name w:val="Bordered &amp; Lined - Accent 1"/>
    <w:basedOn w:val="965"/>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0" w:customStyle="1">
    <w:name w:val="Bordered &amp; Lined - Accent 2"/>
    <w:basedOn w:val="965"/>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1" w:customStyle="1">
    <w:name w:val="Bordered &amp; Lined - Accent 3"/>
    <w:basedOn w:val="965"/>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2" w:customStyle="1">
    <w:name w:val="Bordered &amp; Lined - Accent 4"/>
    <w:basedOn w:val="965"/>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3" w:customStyle="1">
    <w:name w:val="Bordered &amp; Lined - Accent 5"/>
    <w:basedOn w:val="965"/>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4" w:customStyle="1">
    <w:name w:val="Bordered &amp; Lined - Accent 6"/>
    <w:basedOn w:val="965"/>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5" w:customStyle="1">
    <w:name w:val="Bordered"/>
    <w:basedOn w:val="965"/>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6" w:customStyle="1">
    <w:name w:val="Bordered - Accent 1"/>
    <w:basedOn w:val="965"/>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7" w:customStyle="1">
    <w:name w:val="Bordered - Accent 2"/>
    <w:basedOn w:val="965"/>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customStyle="1">
    <w:name w:val="Bordered - Accent 3"/>
    <w:basedOn w:val="965"/>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customStyle="1">
    <w:name w:val="Bordered - Accent 4"/>
    <w:basedOn w:val="965"/>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customStyle="1">
    <w:name w:val="Bordered - Accent 5"/>
    <w:basedOn w:val="965"/>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customStyle="1">
    <w:name w:val="Bordered - Accent 6"/>
    <w:basedOn w:val="965"/>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92">
    <w:name w:val="Title"/>
    <w:basedOn w:val="954"/>
    <w:next w:val="954"/>
    <w:link w:val="1093"/>
    <w:uiPriority w:val="10"/>
    <w:qFormat/>
    <w:pPr>
      <w:pBdr/>
      <w:spacing w:after="80"/>
      <w:ind/>
      <w:contextualSpacing w:val="true"/>
    </w:pPr>
    <w:rPr>
      <w:rFonts w:ascii="Arial" w:hAnsi="Arial" w:eastAsia="Arial" w:cs="Arial"/>
      <w:spacing w:val="-10"/>
      <w:sz w:val="56"/>
      <w:szCs w:val="56"/>
    </w:rPr>
  </w:style>
  <w:style w:type="character" w:styleId="1093" w:customStyle="1">
    <w:name w:val="Title Char"/>
    <w:basedOn w:val="964"/>
    <w:link w:val="1092"/>
    <w:uiPriority w:val="10"/>
    <w:pPr>
      <w:pBdr/>
      <w:spacing/>
      <w:ind/>
    </w:pPr>
    <w:rPr>
      <w:rFonts w:ascii="Arial" w:hAnsi="Arial" w:eastAsia="Arial" w:cs="Arial"/>
      <w:spacing w:val="-10"/>
      <w:sz w:val="56"/>
      <w:szCs w:val="56"/>
    </w:rPr>
  </w:style>
  <w:style w:type="paragraph" w:styleId="1094">
    <w:name w:val="Subtitle"/>
    <w:basedOn w:val="954"/>
    <w:next w:val="954"/>
    <w:link w:val="1095"/>
    <w:uiPriority w:val="11"/>
    <w:qFormat/>
    <w:pPr>
      <w:numPr>
        <w:ilvl w:val="1"/>
      </w:numPr>
      <w:pBdr/>
      <w:spacing/>
      <w:ind/>
    </w:pPr>
    <w:rPr>
      <w:color w:val="595959" w:themeColor="text1" w:themeTint="A6"/>
      <w:spacing w:val="15"/>
      <w:sz w:val="28"/>
      <w:szCs w:val="28"/>
    </w:rPr>
  </w:style>
  <w:style w:type="character" w:styleId="1095" w:customStyle="1">
    <w:name w:val="Subtitle Char"/>
    <w:basedOn w:val="964"/>
    <w:link w:val="1094"/>
    <w:uiPriority w:val="11"/>
    <w:pPr>
      <w:pBdr/>
      <w:spacing/>
      <w:ind/>
    </w:pPr>
    <w:rPr>
      <w:color w:val="595959" w:themeColor="text1" w:themeTint="A6"/>
      <w:spacing w:val="15"/>
      <w:sz w:val="28"/>
      <w:szCs w:val="28"/>
    </w:rPr>
  </w:style>
  <w:style w:type="paragraph" w:styleId="1096">
    <w:name w:val="Quote"/>
    <w:basedOn w:val="954"/>
    <w:next w:val="954"/>
    <w:link w:val="1097"/>
    <w:uiPriority w:val="29"/>
    <w:qFormat/>
    <w:pPr>
      <w:pBdr/>
      <w:spacing w:before="160"/>
      <w:ind/>
      <w:jc w:val="center"/>
    </w:pPr>
    <w:rPr>
      <w:i/>
      <w:iCs/>
      <w:color w:val="404040" w:themeColor="text1" w:themeTint="BF"/>
    </w:rPr>
  </w:style>
  <w:style w:type="character" w:styleId="1097" w:customStyle="1">
    <w:name w:val="Quote Char"/>
    <w:basedOn w:val="964"/>
    <w:link w:val="1096"/>
    <w:uiPriority w:val="29"/>
    <w:pPr>
      <w:pBdr/>
      <w:spacing/>
      <w:ind/>
    </w:pPr>
    <w:rPr>
      <w:i/>
      <w:iCs/>
      <w:color w:val="404040" w:themeColor="text1" w:themeTint="BF"/>
    </w:rPr>
  </w:style>
  <w:style w:type="character" w:styleId="1098">
    <w:name w:val="Intense Emphasis"/>
    <w:basedOn w:val="964"/>
    <w:uiPriority w:val="21"/>
    <w:qFormat/>
    <w:pPr>
      <w:pBdr/>
      <w:spacing/>
      <w:ind/>
    </w:pPr>
    <w:rPr>
      <w:i/>
      <w:iCs/>
      <w:color w:val="2e74b5" w:themeColor="accent1" w:themeShade="BF"/>
    </w:rPr>
  </w:style>
  <w:style w:type="paragraph" w:styleId="1099">
    <w:name w:val="Intense Quote"/>
    <w:basedOn w:val="954"/>
    <w:next w:val="954"/>
    <w:link w:val="1100"/>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100" w:customStyle="1">
    <w:name w:val="Intense Quote Char"/>
    <w:basedOn w:val="964"/>
    <w:link w:val="1099"/>
    <w:uiPriority w:val="30"/>
    <w:pPr>
      <w:pBdr/>
      <w:spacing/>
      <w:ind/>
    </w:pPr>
    <w:rPr>
      <w:i/>
      <w:iCs/>
      <w:color w:val="2e74b5" w:themeColor="accent1" w:themeShade="BF"/>
    </w:rPr>
  </w:style>
  <w:style w:type="character" w:styleId="1101">
    <w:name w:val="Intense Reference"/>
    <w:basedOn w:val="964"/>
    <w:uiPriority w:val="32"/>
    <w:qFormat/>
    <w:pPr>
      <w:pBdr/>
      <w:spacing/>
      <w:ind/>
    </w:pPr>
    <w:rPr>
      <w:b/>
      <w:bCs/>
      <w:smallCaps/>
      <w:color w:val="2e74b5" w:themeColor="accent1" w:themeShade="BF"/>
      <w:spacing w:val="5"/>
    </w:rPr>
  </w:style>
  <w:style w:type="paragraph" w:styleId="1102">
    <w:name w:val="No Spacing"/>
    <w:basedOn w:val="954"/>
    <w:uiPriority w:val="1"/>
    <w:qFormat/>
    <w:pPr>
      <w:pBdr/>
      <w:spacing/>
      <w:ind/>
    </w:pPr>
  </w:style>
  <w:style w:type="character" w:styleId="1103">
    <w:name w:val="Subtle Emphasis"/>
    <w:basedOn w:val="964"/>
    <w:uiPriority w:val="19"/>
    <w:qFormat/>
    <w:pPr>
      <w:pBdr/>
      <w:spacing/>
      <w:ind/>
    </w:pPr>
    <w:rPr>
      <w:i/>
      <w:iCs/>
      <w:color w:val="404040" w:themeColor="text1" w:themeTint="BF"/>
    </w:rPr>
  </w:style>
  <w:style w:type="character" w:styleId="1104">
    <w:name w:val="Emphasis"/>
    <w:basedOn w:val="964"/>
    <w:uiPriority w:val="20"/>
    <w:qFormat/>
    <w:pPr>
      <w:pBdr/>
      <w:spacing/>
      <w:ind/>
    </w:pPr>
    <w:rPr>
      <w:i/>
      <w:iCs/>
    </w:rPr>
  </w:style>
  <w:style w:type="character" w:styleId="1105">
    <w:name w:val="Strong"/>
    <w:basedOn w:val="964"/>
    <w:uiPriority w:val="22"/>
    <w:qFormat/>
    <w:pPr>
      <w:pBdr/>
      <w:spacing/>
      <w:ind/>
    </w:pPr>
    <w:rPr>
      <w:b/>
      <w:bCs/>
    </w:rPr>
  </w:style>
  <w:style w:type="character" w:styleId="1106">
    <w:name w:val="Subtle Reference"/>
    <w:basedOn w:val="964"/>
    <w:uiPriority w:val="31"/>
    <w:qFormat/>
    <w:pPr>
      <w:pBdr/>
      <w:spacing/>
      <w:ind/>
    </w:pPr>
    <w:rPr>
      <w:smallCaps/>
      <w:color w:val="5a5a5a" w:themeColor="text1" w:themeTint="A5"/>
    </w:rPr>
  </w:style>
  <w:style w:type="character" w:styleId="1107">
    <w:name w:val="Book Title"/>
    <w:basedOn w:val="964"/>
    <w:uiPriority w:val="33"/>
    <w:qFormat/>
    <w:pPr>
      <w:pBdr/>
      <w:spacing/>
      <w:ind/>
    </w:pPr>
    <w:rPr>
      <w:b/>
      <w:bCs/>
      <w:i/>
      <w:iCs/>
      <w:spacing w:val="5"/>
    </w:rPr>
  </w:style>
  <w:style w:type="paragraph" w:styleId="1108">
    <w:name w:val="Caption"/>
    <w:basedOn w:val="954"/>
    <w:next w:val="954"/>
    <w:uiPriority w:val="35"/>
    <w:unhideWhenUsed/>
    <w:qFormat/>
    <w:pPr>
      <w:pBdr/>
      <w:spacing w:after="200"/>
      <w:ind/>
    </w:pPr>
    <w:rPr>
      <w:i/>
      <w:iCs/>
      <w:color w:val="44546a" w:themeColor="text2"/>
      <w:sz w:val="18"/>
      <w:szCs w:val="18"/>
    </w:rPr>
  </w:style>
  <w:style w:type="paragraph" w:styleId="1109">
    <w:name w:val="footnote text"/>
    <w:basedOn w:val="954"/>
    <w:link w:val="1110"/>
    <w:uiPriority w:val="99"/>
    <w:semiHidden/>
    <w:unhideWhenUsed/>
    <w:pPr>
      <w:pBdr/>
      <w:spacing/>
      <w:ind/>
    </w:pPr>
  </w:style>
  <w:style w:type="character" w:styleId="1110" w:customStyle="1">
    <w:name w:val="Footnote Text Char"/>
    <w:basedOn w:val="964"/>
    <w:link w:val="1109"/>
    <w:uiPriority w:val="99"/>
    <w:semiHidden/>
    <w:pPr>
      <w:pBdr/>
      <w:spacing/>
      <w:ind/>
    </w:pPr>
    <w:rPr>
      <w:sz w:val="20"/>
      <w:szCs w:val="20"/>
    </w:rPr>
  </w:style>
  <w:style w:type="character" w:styleId="1111">
    <w:name w:val="footnote reference"/>
    <w:basedOn w:val="964"/>
    <w:uiPriority w:val="99"/>
    <w:semiHidden/>
    <w:unhideWhenUsed/>
    <w:pPr>
      <w:pBdr/>
      <w:spacing/>
      <w:ind/>
    </w:pPr>
    <w:rPr>
      <w:vertAlign w:val="superscript"/>
    </w:rPr>
  </w:style>
  <w:style w:type="paragraph" w:styleId="1112">
    <w:name w:val="endnote text"/>
    <w:basedOn w:val="954"/>
    <w:link w:val="1113"/>
    <w:uiPriority w:val="99"/>
    <w:semiHidden/>
    <w:unhideWhenUsed/>
    <w:pPr>
      <w:pBdr/>
      <w:spacing/>
      <w:ind/>
    </w:pPr>
  </w:style>
  <w:style w:type="character" w:styleId="1113" w:customStyle="1">
    <w:name w:val="Endnote Text Char"/>
    <w:basedOn w:val="964"/>
    <w:link w:val="1112"/>
    <w:uiPriority w:val="99"/>
    <w:semiHidden/>
    <w:pPr>
      <w:pBdr/>
      <w:spacing/>
      <w:ind/>
    </w:pPr>
    <w:rPr>
      <w:sz w:val="20"/>
      <w:szCs w:val="20"/>
    </w:rPr>
  </w:style>
  <w:style w:type="character" w:styleId="1114">
    <w:name w:val="endnote reference"/>
    <w:basedOn w:val="964"/>
    <w:uiPriority w:val="99"/>
    <w:semiHidden/>
    <w:unhideWhenUsed/>
    <w:pPr>
      <w:pBdr/>
      <w:spacing/>
      <w:ind/>
    </w:pPr>
    <w:rPr>
      <w:vertAlign w:val="superscript"/>
    </w:rPr>
  </w:style>
  <w:style w:type="paragraph" w:styleId="1115">
    <w:name w:val="toc 1"/>
    <w:basedOn w:val="954"/>
    <w:next w:val="954"/>
    <w:uiPriority w:val="39"/>
    <w:unhideWhenUsed/>
    <w:pPr>
      <w:pBdr/>
      <w:spacing w:after="100"/>
      <w:ind/>
    </w:pPr>
  </w:style>
  <w:style w:type="paragraph" w:styleId="1116">
    <w:name w:val="toc 2"/>
    <w:basedOn w:val="954"/>
    <w:next w:val="954"/>
    <w:uiPriority w:val="39"/>
    <w:unhideWhenUsed/>
    <w:pPr>
      <w:pBdr/>
      <w:spacing w:after="100"/>
      <w:ind w:left="220"/>
    </w:pPr>
  </w:style>
  <w:style w:type="paragraph" w:styleId="1117">
    <w:name w:val="toc 3"/>
    <w:basedOn w:val="954"/>
    <w:next w:val="954"/>
    <w:uiPriority w:val="39"/>
    <w:unhideWhenUsed/>
    <w:pPr>
      <w:pBdr/>
      <w:spacing w:after="100"/>
      <w:ind w:left="440"/>
    </w:pPr>
  </w:style>
  <w:style w:type="paragraph" w:styleId="1118">
    <w:name w:val="toc 4"/>
    <w:basedOn w:val="954"/>
    <w:next w:val="954"/>
    <w:uiPriority w:val="39"/>
    <w:unhideWhenUsed/>
    <w:pPr>
      <w:pBdr/>
      <w:spacing w:after="100"/>
      <w:ind w:left="660"/>
    </w:pPr>
  </w:style>
  <w:style w:type="paragraph" w:styleId="1119">
    <w:name w:val="toc 5"/>
    <w:basedOn w:val="954"/>
    <w:next w:val="954"/>
    <w:uiPriority w:val="39"/>
    <w:unhideWhenUsed/>
    <w:pPr>
      <w:pBdr/>
      <w:spacing w:after="100"/>
      <w:ind w:left="880"/>
    </w:pPr>
  </w:style>
  <w:style w:type="paragraph" w:styleId="1120">
    <w:name w:val="toc 6"/>
    <w:basedOn w:val="954"/>
    <w:next w:val="954"/>
    <w:uiPriority w:val="39"/>
    <w:unhideWhenUsed/>
    <w:pPr>
      <w:pBdr/>
      <w:spacing w:after="100"/>
      <w:ind w:left="1100"/>
    </w:pPr>
  </w:style>
  <w:style w:type="paragraph" w:styleId="1121">
    <w:name w:val="toc 7"/>
    <w:basedOn w:val="954"/>
    <w:next w:val="954"/>
    <w:uiPriority w:val="39"/>
    <w:unhideWhenUsed/>
    <w:pPr>
      <w:pBdr/>
      <w:spacing w:after="100"/>
      <w:ind w:left="1320"/>
    </w:pPr>
  </w:style>
  <w:style w:type="paragraph" w:styleId="1122">
    <w:name w:val="toc 8"/>
    <w:basedOn w:val="954"/>
    <w:next w:val="954"/>
    <w:uiPriority w:val="39"/>
    <w:unhideWhenUsed/>
    <w:pPr>
      <w:pBdr/>
      <w:spacing w:after="100"/>
      <w:ind w:left="1540"/>
    </w:pPr>
  </w:style>
  <w:style w:type="paragraph" w:styleId="1123">
    <w:name w:val="toc 9"/>
    <w:basedOn w:val="954"/>
    <w:next w:val="954"/>
    <w:uiPriority w:val="39"/>
    <w:unhideWhenUsed/>
    <w:pPr>
      <w:pBdr/>
      <w:spacing w:after="100"/>
      <w:ind w:left="1760"/>
    </w:pPr>
  </w:style>
  <w:style w:type="character" w:styleId="1124">
    <w:name w:val="Placeholder Text"/>
    <w:basedOn w:val="964"/>
    <w:uiPriority w:val="99"/>
    <w:semiHidden/>
    <w:pPr>
      <w:pBdr/>
      <w:spacing/>
      <w:ind/>
    </w:pPr>
    <w:rPr>
      <w:color w:val="666666"/>
    </w:rPr>
  </w:style>
  <w:style w:type="paragraph" w:styleId="1125">
    <w:name w:val="TOC Heading"/>
    <w:uiPriority w:val="39"/>
    <w:unhideWhenUsed/>
    <w:pPr>
      <w:pBdr/>
      <w:spacing/>
      <w:ind/>
    </w:pPr>
  </w:style>
  <w:style w:type="paragraph" w:styleId="1126">
    <w:name w:val="table of figures"/>
    <w:basedOn w:val="954"/>
    <w:next w:val="954"/>
    <w:uiPriority w:val="99"/>
    <w:unhideWhenUsed/>
    <w:pPr>
      <w:pBdr/>
      <w:spacing/>
      <w:ind/>
    </w:pPr>
  </w:style>
  <w:style w:type="paragraph" w:styleId="1127">
    <w:name w:val="Block Text"/>
    <w:basedOn w:val="954"/>
    <w:pPr>
      <w:pBdr/>
      <w:spacing/>
      <w:ind w:right="1440" w:left="1440"/>
    </w:pPr>
    <w:rPr>
      <w:sz w:val="26"/>
      <w:lang w:val="en-US"/>
    </w:rPr>
  </w:style>
  <w:style w:type="paragraph" w:styleId="1128" w:customStyle="1">
    <w:name w:val="Text_Croatia"/>
    <w:basedOn w:val="954"/>
    <w:qFormat/>
    <w:pPr>
      <w:widowControl w:val="false"/>
      <w:pBdr/>
      <w:spacing w:before="240"/>
      <w:ind/>
      <w:jc w:val="both"/>
    </w:pPr>
    <w:rPr>
      <w:rFonts w:ascii="Arial" w:hAnsi="Arial"/>
      <w:lang w:val="hr-HR"/>
    </w:rPr>
  </w:style>
  <w:style w:type="paragraph" w:styleId="1129">
    <w:name w:val="List Paragraph"/>
    <w:basedOn w:val="954"/>
    <w:uiPriority w:val="34"/>
    <w:qFormat/>
    <w:pPr>
      <w:pBdr/>
      <w:spacing/>
      <w:ind w:left="720"/>
    </w:pPr>
  </w:style>
  <w:style w:type="paragraph" w:styleId="1130" w:customStyle="1">
    <w:name w:val="Level 1"/>
    <w:basedOn w:val="954"/>
    <w:link w:val="1131"/>
    <w:pPr>
      <w:numPr>
        <w:numId w:val="3"/>
      </w:numPr>
      <w:pBdr/>
      <w:spacing w:before="120" w:line="280" w:lineRule="atLeast"/>
      <w:ind/>
    </w:pPr>
    <w:rPr>
      <w:rFonts w:ascii="Arial" w:hAnsi="Arial"/>
      <w:sz w:val="22"/>
      <w:lang w:val="en-GB"/>
    </w:rPr>
  </w:style>
  <w:style w:type="character" w:styleId="1131" w:customStyle="1">
    <w:name w:val="Level 1 Char"/>
    <w:link w:val="1130"/>
    <w:pPr>
      <w:pBdr/>
      <w:spacing/>
      <w:ind/>
    </w:pPr>
    <w:rPr>
      <w:rFonts w:ascii="Arial" w:hAnsi="Arial" w:eastAsia="Times New Roman" w:cs="Times New Roman"/>
      <w:szCs w:val="20"/>
      <w:lang w:val="en-GB"/>
    </w:rPr>
  </w:style>
  <w:style w:type="paragraph" w:styleId="1132">
    <w:name w:val="Header"/>
    <w:basedOn w:val="954"/>
    <w:link w:val="1133"/>
    <w:uiPriority w:val="99"/>
    <w:unhideWhenUsed/>
    <w:pPr>
      <w:pBdr/>
      <w:tabs>
        <w:tab w:val="center" w:leader="none" w:pos="4703"/>
        <w:tab w:val="right" w:leader="none" w:pos="9406"/>
      </w:tabs>
      <w:spacing/>
      <w:ind/>
    </w:pPr>
  </w:style>
  <w:style w:type="character" w:styleId="1133" w:customStyle="1">
    <w:name w:val="Header Char"/>
    <w:basedOn w:val="964"/>
    <w:link w:val="1132"/>
    <w:uiPriority w:val="99"/>
    <w:qFormat/>
    <w:pPr>
      <w:pBdr/>
      <w:spacing/>
      <w:ind/>
    </w:pPr>
    <w:rPr>
      <w:rFonts w:ascii="Times New Roman" w:hAnsi="Times New Roman" w:eastAsia="Times New Roman" w:cs="Times New Roman"/>
      <w:sz w:val="20"/>
      <w:szCs w:val="20"/>
      <w:lang w:val="en-AU"/>
    </w:rPr>
  </w:style>
  <w:style w:type="paragraph" w:styleId="1134">
    <w:name w:val="Footer"/>
    <w:basedOn w:val="954"/>
    <w:link w:val="1135"/>
    <w:uiPriority w:val="99"/>
    <w:unhideWhenUsed/>
    <w:pPr>
      <w:pBdr/>
      <w:tabs>
        <w:tab w:val="center" w:leader="none" w:pos="4703"/>
        <w:tab w:val="right" w:leader="none" w:pos="9406"/>
      </w:tabs>
      <w:spacing/>
      <w:ind/>
    </w:pPr>
  </w:style>
  <w:style w:type="character" w:styleId="1135" w:customStyle="1">
    <w:name w:val="Footer Char"/>
    <w:basedOn w:val="964"/>
    <w:link w:val="1134"/>
    <w:uiPriority w:val="99"/>
    <w:pPr>
      <w:pBdr/>
      <w:spacing/>
      <w:ind/>
    </w:pPr>
    <w:rPr>
      <w:rFonts w:ascii="Times New Roman" w:hAnsi="Times New Roman" w:eastAsia="Times New Roman" w:cs="Times New Roman"/>
      <w:sz w:val="20"/>
      <w:szCs w:val="20"/>
      <w:lang w:val="en-AU"/>
    </w:rPr>
  </w:style>
  <w:style w:type="table" w:styleId="1136">
    <w:name w:val="Table Grid"/>
    <w:basedOn w:val="965"/>
    <w:uiPriority w:val="59"/>
    <w:pPr>
      <w:pBdr/>
      <w:spacing w:after="0" w:line="240" w:lineRule="auto"/>
      <w:ind/>
    </w:pPr>
    <w:rPr>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37">
    <w:name w:val="annotation reference"/>
    <w:basedOn w:val="964"/>
    <w:uiPriority w:val="99"/>
    <w:semiHidden/>
    <w:unhideWhenUsed/>
    <w:pPr>
      <w:pBdr/>
      <w:spacing/>
      <w:ind/>
    </w:pPr>
    <w:rPr>
      <w:sz w:val="16"/>
      <w:szCs w:val="16"/>
    </w:rPr>
  </w:style>
  <w:style w:type="paragraph" w:styleId="1138">
    <w:name w:val="annotation text"/>
    <w:basedOn w:val="954"/>
    <w:link w:val="1139"/>
    <w:uiPriority w:val="99"/>
    <w:unhideWhenUsed/>
    <w:pPr>
      <w:pBdr/>
      <w:spacing/>
      <w:ind/>
    </w:pPr>
  </w:style>
  <w:style w:type="character" w:styleId="1139" w:customStyle="1">
    <w:name w:val="Comment Text Char"/>
    <w:basedOn w:val="964"/>
    <w:link w:val="1138"/>
    <w:uiPriority w:val="99"/>
    <w:pPr>
      <w:pBdr/>
      <w:spacing/>
      <w:ind/>
    </w:pPr>
    <w:rPr>
      <w:rFonts w:ascii="Times New Roman" w:hAnsi="Times New Roman" w:eastAsia="Times New Roman" w:cs="Times New Roman"/>
      <w:sz w:val="20"/>
      <w:szCs w:val="20"/>
      <w:lang w:val="en-AU"/>
    </w:rPr>
  </w:style>
  <w:style w:type="paragraph" w:styleId="1140">
    <w:name w:val="annotation subject"/>
    <w:basedOn w:val="1138"/>
    <w:next w:val="1138"/>
    <w:link w:val="1141"/>
    <w:uiPriority w:val="99"/>
    <w:semiHidden/>
    <w:unhideWhenUsed/>
    <w:pPr>
      <w:pBdr/>
      <w:spacing/>
      <w:ind/>
    </w:pPr>
    <w:rPr>
      <w:b/>
      <w:bCs/>
    </w:rPr>
  </w:style>
  <w:style w:type="character" w:styleId="1141" w:customStyle="1">
    <w:name w:val="Comment Subject Char"/>
    <w:basedOn w:val="1139"/>
    <w:link w:val="1140"/>
    <w:uiPriority w:val="99"/>
    <w:semiHidden/>
    <w:pPr>
      <w:pBdr/>
      <w:spacing/>
      <w:ind/>
    </w:pPr>
    <w:rPr>
      <w:rFonts w:ascii="Times New Roman" w:hAnsi="Times New Roman" w:eastAsia="Times New Roman" w:cs="Times New Roman"/>
      <w:b/>
      <w:bCs/>
      <w:sz w:val="20"/>
      <w:szCs w:val="20"/>
      <w:lang w:val="en-AU"/>
    </w:rPr>
  </w:style>
  <w:style w:type="paragraph" w:styleId="1142">
    <w:name w:val="Balloon Text"/>
    <w:basedOn w:val="954"/>
    <w:link w:val="1143"/>
    <w:uiPriority w:val="99"/>
    <w:semiHidden/>
    <w:unhideWhenUsed/>
    <w:pPr>
      <w:pBdr/>
      <w:spacing/>
      <w:ind/>
    </w:pPr>
    <w:rPr>
      <w:rFonts w:ascii="Segoe UI" w:hAnsi="Segoe UI" w:cs="Segoe UI"/>
      <w:sz w:val="18"/>
      <w:szCs w:val="18"/>
    </w:rPr>
  </w:style>
  <w:style w:type="character" w:styleId="1143" w:customStyle="1">
    <w:name w:val="Balloon Text Char"/>
    <w:basedOn w:val="964"/>
    <w:link w:val="1142"/>
    <w:uiPriority w:val="99"/>
    <w:semiHidden/>
    <w:pPr>
      <w:pBdr/>
      <w:spacing/>
      <w:ind/>
    </w:pPr>
    <w:rPr>
      <w:rFonts w:ascii="Segoe UI" w:hAnsi="Segoe UI" w:eastAsia="Times New Roman" w:cs="Segoe UI"/>
      <w:sz w:val="18"/>
      <w:szCs w:val="18"/>
      <w:lang w:val="en-AU"/>
    </w:rPr>
  </w:style>
  <w:style w:type="paragraph" w:styleId="1144" w:customStyle="1">
    <w:name w:val="clan"/>
    <w:basedOn w:val="954"/>
    <w:pPr>
      <w:pBdr/>
      <w:spacing w:after="120" w:before="240"/>
      <w:ind/>
      <w:jc w:val="center"/>
    </w:pPr>
    <w:rPr>
      <w:rFonts w:ascii="Arial" w:hAnsi="Arial" w:cs="Arial"/>
      <w:b/>
      <w:bCs/>
      <w:sz w:val="24"/>
      <w:szCs w:val="24"/>
      <w:lang w:val="sr-Latn-RS" w:eastAsia="sr-Latn-RS"/>
    </w:rPr>
  </w:style>
  <w:style w:type="paragraph" w:styleId="1145" w:customStyle="1">
    <w:name w:val="Normal1"/>
    <w:basedOn w:val="954"/>
    <w:pPr>
      <w:pBdr/>
      <w:spacing w:after="150"/>
      <w:ind/>
    </w:pPr>
    <w:rPr>
      <w:rFonts w:ascii="Arial" w:hAnsi="Arial" w:cs="Arial"/>
      <w:sz w:val="22"/>
      <w:szCs w:val="22"/>
      <w:lang w:val="sr-Latn-RS" w:eastAsia="sr-Latn-RS"/>
    </w:rPr>
  </w:style>
  <w:style w:type="character" w:styleId="1146" w:customStyle="1">
    <w:name w:val="Основной текст_"/>
    <w:basedOn w:val="964"/>
    <w:link w:val="1147"/>
    <w:pPr>
      <w:pBdr/>
      <w:spacing/>
      <w:ind/>
    </w:pPr>
    <w:rPr>
      <w:rFonts w:ascii="Arial" w:hAnsi="Arial" w:eastAsia="Arial" w:cs="Arial"/>
      <w:sz w:val="20"/>
      <w:szCs w:val="20"/>
      <w:shd w:val="clear" w:color="auto" w:fill="ffffff"/>
    </w:rPr>
  </w:style>
  <w:style w:type="paragraph" w:styleId="1147" w:customStyle="1">
    <w:name w:val="Основной текст1"/>
    <w:basedOn w:val="954"/>
    <w:link w:val="1146"/>
    <w:pPr>
      <w:widowControl w:val="false"/>
      <w:pBdr/>
      <w:shd w:val="clear" w:color="auto" w:fill="ffffff"/>
      <w:spacing w:line="264" w:lineRule="auto"/>
      <w:ind w:firstLine="400"/>
    </w:pPr>
    <w:rPr>
      <w:rFonts w:ascii="Arial" w:hAnsi="Arial" w:eastAsia="Arial" w:cs="Arial"/>
      <w:lang w:val="sr-Latn-RS"/>
    </w:rPr>
  </w:style>
  <w:style w:type="paragraph" w:styleId="1148" w:customStyle="1">
    <w:name w:val="Default"/>
    <w:pPr>
      <w:pBdr/>
      <w:spacing w:after="0" w:line="240" w:lineRule="auto"/>
      <w:ind/>
    </w:pPr>
    <w:rPr>
      <w:rFonts w:ascii="Times New Roman" w:hAnsi="Times New Roman" w:cs="Times New Roman"/>
      <w:color w:val="000000"/>
      <w:sz w:val="24"/>
      <w:szCs w:val="24"/>
    </w:rPr>
  </w:style>
  <w:style w:type="character" w:styleId="1149" w:customStyle="1">
    <w:name w:val="Heading 1 Char"/>
    <w:basedOn w:val="964"/>
    <w:link w:val="955"/>
    <w:pPr>
      <w:pBdr/>
      <w:spacing/>
      <w:ind/>
    </w:pPr>
    <w:rPr>
      <w:rFonts w:ascii="Tms Rmn" w:hAnsi="Tms Rmn" w:eastAsia="Times New Roman" w:cs="Times New Roman"/>
      <w:b/>
      <w:bCs/>
      <w:sz w:val="24"/>
      <w:szCs w:val="24"/>
      <w:lang w:val="en-AU"/>
    </w:rPr>
  </w:style>
  <w:style w:type="character" w:styleId="1150" w:customStyle="1">
    <w:name w:val="Heading 2 Char"/>
    <w:basedOn w:val="964"/>
    <w:link w:val="956"/>
    <w:pPr>
      <w:pBdr/>
      <w:spacing/>
      <w:ind/>
    </w:pPr>
    <w:rPr>
      <w:rFonts w:ascii="Arial" w:hAnsi="Arial" w:eastAsia="Times New Roman" w:cs="Arial"/>
      <w:b/>
      <w:bCs/>
      <w:i/>
      <w:iCs/>
      <w:sz w:val="28"/>
      <w:szCs w:val="28"/>
      <w:lang w:val="en-AU"/>
    </w:rPr>
  </w:style>
  <w:style w:type="character" w:styleId="1151" w:customStyle="1">
    <w:name w:val="Heading 3 Char"/>
    <w:basedOn w:val="964"/>
    <w:link w:val="957"/>
    <w:pPr>
      <w:pBdr/>
      <w:spacing/>
      <w:ind/>
    </w:pPr>
    <w:rPr>
      <w:rFonts w:ascii="Arial" w:hAnsi="Arial" w:eastAsia="Times New Roman" w:cs="Arial"/>
      <w:b/>
      <w:bCs/>
      <w:sz w:val="26"/>
      <w:szCs w:val="26"/>
      <w:lang w:val="en-AU"/>
    </w:rPr>
  </w:style>
  <w:style w:type="character" w:styleId="1152" w:customStyle="1">
    <w:name w:val="Heading 4 Char"/>
    <w:basedOn w:val="964"/>
    <w:link w:val="958"/>
    <w:pPr>
      <w:pBdr/>
      <w:spacing/>
      <w:ind/>
    </w:pPr>
    <w:rPr>
      <w:rFonts w:ascii="Times New Roman" w:hAnsi="Times New Roman" w:eastAsia="Times New Roman" w:cs="Times New Roman"/>
      <w:b/>
      <w:bCs/>
      <w:sz w:val="28"/>
      <w:szCs w:val="28"/>
      <w:lang w:val="en-AU"/>
    </w:rPr>
  </w:style>
  <w:style w:type="character" w:styleId="1153" w:customStyle="1">
    <w:name w:val="Heading 5 Char"/>
    <w:basedOn w:val="964"/>
    <w:link w:val="959"/>
    <w:pPr>
      <w:pBdr/>
      <w:spacing/>
      <w:ind/>
    </w:pPr>
    <w:rPr>
      <w:rFonts w:ascii="Times New Roman" w:hAnsi="Times New Roman" w:eastAsia="Times New Roman" w:cs="Times New Roman"/>
      <w:b/>
      <w:bCs/>
      <w:i/>
      <w:iCs/>
      <w:sz w:val="26"/>
      <w:szCs w:val="26"/>
      <w:lang w:val="en-AU"/>
    </w:rPr>
  </w:style>
  <w:style w:type="character" w:styleId="1154" w:customStyle="1">
    <w:name w:val="Heading 6 Char"/>
    <w:basedOn w:val="964"/>
    <w:link w:val="960"/>
    <w:pPr>
      <w:pBdr/>
      <w:spacing/>
      <w:ind/>
    </w:pPr>
    <w:rPr>
      <w:rFonts w:ascii="Times New Roman" w:hAnsi="Times New Roman" w:eastAsia="Times New Roman" w:cs="Times New Roman"/>
      <w:b/>
      <w:bCs/>
      <w:lang w:val="en-AU"/>
    </w:rPr>
  </w:style>
  <w:style w:type="character" w:styleId="1155" w:customStyle="1">
    <w:name w:val="Heading 7 Char"/>
    <w:basedOn w:val="964"/>
    <w:link w:val="961"/>
    <w:pPr>
      <w:pBdr/>
      <w:spacing/>
      <w:ind/>
    </w:pPr>
    <w:rPr>
      <w:rFonts w:ascii="Times New Roman" w:hAnsi="Times New Roman" w:eastAsia="Times New Roman" w:cs="Times New Roman"/>
      <w:sz w:val="24"/>
      <w:szCs w:val="24"/>
      <w:lang w:val="en-AU"/>
    </w:rPr>
  </w:style>
  <w:style w:type="character" w:styleId="1156" w:customStyle="1">
    <w:name w:val="Heading 8 Char"/>
    <w:basedOn w:val="964"/>
    <w:link w:val="962"/>
    <w:pPr>
      <w:pBdr/>
      <w:spacing/>
      <w:ind/>
    </w:pPr>
    <w:rPr>
      <w:rFonts w:ascii="Times New Roman" w:hAnsi="Times New Roman" w:eastAsia="Times New Roman" w:cs="Times New Roman"/>
      <w:i/>
      <w:iCs/>
      <w:sz w:val="24"/>
      <w:szCs w:val="24"/>
      <w:lang w:val="en-AU"/>
    </w:rPr>
  </w:style>
  <w:style w:type="character" w:styleId="1157" w:customStyle="1">
    <w:name w:val="Heading 9 Char"/>
    <w:basedOn w:val="964"/>
    <w:link w:val="963"/>
    <w:pPr>
      <w:pBdr/>
      <w:spacing/>
      <w:ind/>
    </w:pPr>
    <w:rPr>
      <w:rFonts w:ascii="Arial" w:hAnsi="Arial" w:eastAsia="Times New Roman" w:cs="Arial"/>
      <w:lang w:val="en-AU"/>
    </w:rPr>
  </w:style>
  <w:style w:type="numbering" w:styleId="1158" w:customStyle="1">
    <w:name w:val="Style1"/>
    <w:uiPriority w:val="99"/>
    <w:pPr>
      <w:numPr>
        <w:numId w:val="24"/>
      </w:numPr>
      <w:pBdr/>
      <w:spacing/>
      <w:ind/>
    </w:pPr>
  </w:style>
  <w:style w:type="paragraph" w:styleId="1159">
    <w:name w:val="Revision"/>
    <w:hidden/>
    <w:uiPriority w:val="99"/>
    <w:semiHidden/>
    <w:pPr>
      <w:pBdr/>
      <w:spacing w:after="0" w:line="240" w:lineRule="auto"/>
      <w:ind/>
    </w:pPr>
    <w:rPr>
      <w:rFonts w:ascii="Times New Roman" w:hAnsi="Times New Roman" w:eastAsia="Times New Roman" w:cs="Times New Roman"/>
      <w:sz w:val="20"/>
      <w:szCs w:val="20"/>
      <w:lang w:val="en-AU"/>
    </w:rPr>
  </w:style>
  <w:style w:type="character" w:styleId="1160">
    <w:name w:val="Hyperlink"/>
    <w:basedOn w:val="964"/>
    <w:uiPriority w:val="99"/>
    <w:unhideWhenUsed/>
    <w:pPr>
      <w:pBdr/>
      <w:spacing/>
      <w:ind/>
    </w:pPr>
    <w:rPr>
      <w:color w:val="0563c1" w:themeColor="hyperlink"/>
      <w:u w:val="single"/>
    </w:rPr>
  </w:style>
  <w:style w:type="character" w:styleId="1161">
    <w:name w:val="FollowedHyperlink"/>
    <w:basedOn w:val="964"/>
    <w:uiPriority w:val="99"/>
    <w:semiHidden/>
    <w:unhideWhenUsed/>
    <w:pPr>
      <w:pBdr/>
      <w:spacing/>
      <w:ind/>
    </w:pPr>
    <w:rPr>
      <w:color w:val="954f72" w:themeColor="followed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18200-7864-4AB4-8B88-5A86433DCE17}">
  <ds:schemaRefs>
    <ds:schemaRef ds:uri="http://schemas.microsoft.com/office/2006/metadata/properties"/>
    <ds:schemaRef ds:uri="http://www.w3.org/2001/XMLSchema-instance"/>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FC62510E-F253-4B72-8E1A-9CE69C406818}">
  <ds:schemaRefs>
    <ds:schemaRef ds:uri="http://schemas.openxmlformats.org/officeDocument/2006/bibliography"/>
  </ds:schemaRefs>
</ds:datastoreItem>
</file>

<file path=customXml/itemProps5.xml><?xml version="1.0" encoding="utf-8"?>
<ds:datastoreItem xmlns:ds="http://schemas.openxmlformats.org/officeDocument/2006/customXml" ds:itemID="{21BC6AB9-23ED-4919-B864-196A5D1070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onlyoffice/9.0.0.168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G1 Vladimir Todorović</cp:lastModifiedBy>
  <cp:revision>6</cp:revision>
  <dcterms:created xsi:type="dcterms:W3CDTF">2025-07-30T05:56:00Z</dcterms:created>
  <dcterms:modified xsi:type="dcterms:W3CDTF">2025-08-11T13:30:39Z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